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docProps/app.xml" ContentType="application/vnd.openxmlformats-officedocument.extended-properties+xml"/>
  <Override PartName="/customXml/itemProps1.xml" ContentType="application/vnd.openxmlformats-officedocument.customXmlProperties+xml"/>
  <Override PartName="/word/styles.xml" ContentType="application/vnd.openxmlformats-officedocument.wordprocessingml.styles+xml"/>
  <Override PartName="/word/numbering.xml" ContentType="application/vnd.openxmlformats-officedocument.wordprocessingml.numbering+xml"/>
  <Override PartName="/word/people.xml" ContentType="application/vnd.openxmlformats-officedocument.wordprocessingml.people+xml"/>
  <Override PartName="/word/webSettings.xml" ContentType="application/vnd.openxmlformats-officedocument.wordprocessingml.webSettings+xml"/>
  <Override PartName="/word/commentsExtended.xml" ContentType="application/vnd.openxmlformats-officedocument.wordprocessingml.commentsExtended+xml"/>
  <Override PartName="/word/fontTable.xml" ContentType="application/vnd.openxmlformats-officedocument.wordprocessingml.fontTable+xml"/>
  <Override PartName="/docProps/core.xml" ContentType="application/vnd.openxmlformats-package.core-properties+xml"/>
  <Override PartName="/word/commentsIds.xml" ContentType="application/vnd.openxmlformats-officedocument.wordprocessingml.commentsId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w16du="http://schemas.microsoft.com/office/word/2023/wordml/word16du" mc:Ignorable="w14 w15 w16se wp14">
  <w:body>
    <w:p w:rsidR="71145355" w:rsidP="35B2FBC5" w:rsidRDefault="71145355" w14:paraId="6B77E8A8" w14:textId="6BF3A1C3">
      <w:pPr>
        <w:spacing w:before="0" w:beforeAutospacing="off" w:after="0" w:afterAutospacing="off" w:line="480" w:lineRule="auto"/>
        <w:ind w:firstLine="709"/>
        <w:jc w:val="center"/>
      </w:pPr>
      <w:r w:rsidRPr="6EAA5725" w:rsidR="71145355">
        <w:rPr>
          <w:rFonts w:ascii="Arial" w:hAnsi="Arial" w:eastAsia="Arial" w:cs="Arial"/>
          <w:noProof w:val="0"/>
          <w:sz w:val="24"/>
          <w:szCs w:val="24"/>
          <w:lang w:val="es-CO"/>
        </w:rPr>
        <w:t>Atención especializada a Violencia intrafamiliar en el Sistema de</w:t>
      </w:r>
      <w:r w:rsidRPr="6EAA5725" w:rsidR="10AE4824">
        <w:rPr>
          <w:rFonts w:ascii="Arial" w:hAnsi="Arial" w:eastAsia="Arial" w:cs="Arial"/>
          <w:noProof w:val="0"/>
          <w:sz w:val="24"/>
          <w:szCs w:val="24"/>
          <w:lang w:val="es-CO"/>
        </w:rPr>
        <w:t xml:space="preserve"> </w:t>
      </w:r>
      <w:r w:rsidRPr="6EAA5725" w:rsidR="71145355">
        <w:rPr>
          <w:rFonts w:ascii="Arial" w:hAnsi="Arial" w:eastAsia="Arial" w:cs="Arial"/>
          <w:noProof w:val="0"/>
          <w:sz w:val="24"/>
          <w:szCs w:val="24"/>
          <w:lang w:val="es-CO"/>
        </w:rPr>
        <w:t>Responsabilidad Penal para Adolescentes</w:t>
      </w:r>
      <w:r w:rsidRPr="6EAA5725" w:rsidR="48008C7B">
        <w:rPr>
          <w:rFonts w:ascii="Arial" w:hAnsi="Arial" w:eastAsia="Arial" w:cs="Arial"/>
          <w:noProof w:val="0"/>
          <w:sz w:val="24"/>
          <w:szCs w:val="24"/>
          <w:lang w:val="es-CO"/>
        </w:rPr>
        <w:t xml:space="preserve"> </w:t>
      </w:r>
    </w:p>
    <w:p w:rsidR="71145355" w:rsidP="35B2FBC5" w:rsidRDefault="71145355" w14:paraId="1012904D" w14:textId="610123A5">
      <w:pPr>
        <w:spacing w:before="0" w:beforeAutospacing="off" w:after="0" w:afterAutospacing="off" w:line="480" w:lineRule="auto"/>
        <w:ind w:firstLine="709"/>
        <w:jc w:val="center"/>
      </w:pPr>
      <w:r w:rsidRPr="6EAA5725" w:rsidR="71145355">
        <w:rPr>
          <w:rFonts w:ascii="Arial" w:hAnsi="Arial" w:eastAsia="Arial" w:cs="Arial"/>
          <w:noProof w:val="0"/>
          <w:sz w:val="24"/>
          <w:szCs w:val="24"/>
          <w:lang w:val="pt-BR"/>
        </w:rPr>
        <w:t xml:space="preserve">Programa Distrital de </w:t>
      </w:r>
      <w:r w:rsidRPr="6EAA5725" w:rsidR="71145355">
        <w:rPr>
          <w:rFonts w:ascii="Arial" w:hAnsi="Arial" w:eastAsia="Arial" w:cs="Arial"/>
          <w:noProof w:val="0"/>
          <w:sz w:val="24"/>
          <w:szCs w:val="24"/>
          <w:lang w:val="pt-BR"/>
        </w:rPr>
        <w:t>Justicia</w:t>
      </w:r>
      <w:r w:rsidRPr="6EAA5725" w:rsidR="71145355">
        <w:rPr>
          <w:rFonts w:ascii="Arial" w:hAnsi="Arial" w:eastAsia="Arial" w:cs="Arial"/>
          <w:noProof w:val="0"/>
          <w:sz w:val="24"/>
          <w:szCs w:val="24"/>
          <w:lang w:val="pt-BR"/>
        </w:rPr>
        <w:t xml:space="preserve"> Juvenil Restaurativa</w:t>
      </w:r>
    </w:p>
    <w:p w:rsidR="42AF3CF7" w:rsidP="1076C835" w:rsidRDefault="42AF3CF7" w14:paraId="66BB1637" w14:textId="5602FF41">
      <w:pPr>
        <w:spacing w:before="0" w:beforeAutospacing="off" w:after="0" w:afterAutospacing="off" w:line="480" w:lineRule="auto"/>
        <w:ind w:firstLine="709"/>
        <w:jc w:val="both"/>
        <w:rPr>
          <w:rFonts w:ascii="Arial" w:hAnsi="Arial" w:eastAsia="Arial" w:cs="Arial"/>
          <w:b w:val="1"/>
          <w:bCs w:val="1"/>
          <w:noProof w:val="0"/>
          <w:sz w:val="24"/>
          <w:szCs w:val="24"/>
          <w:lang w:val="es-CO"/>
        </w:rPr>
      </w:pPr>
      <w:r w:rsidRPr="1076C835" w:rsidR="71145355">
        <w:rPr>
          <w:rFonts w:ascii="Arial" w:hAnsi="Arial" w:eastAsia="Arial" w:cs="Arial"/>
          <w:b w:val="1"/>
          <w:bCs w:val="1"/>
          <w:noProof w:val="0"/>
          <w:sz w:val="24"/>
          <w:szCs w:val="24"/>
          <w:lang w:val="es-CO"/>
        </w:rPr>
        <w:t xml:space="preserve"> </w:t>
      </w:r>
      <w:r w:rsidRPr="1076C835" w:rsidR="71145355">
        <w:rPr>
          <w:rFonts w:ascii="Arial" w:hAnsi="Arial" w:eastAsia="Arial" w:cs="Arial"/>
          <w:b w:val="1"/>
          <w:bCs w:val="1"/>
          <w:noProof w:val="0"/>
          <w:sz w:val="24"/>
          <w:szCs w:val="24"/>
          <w:lang w:val="es-CO"/>
        </w:rPr>
        <w:t xml:space="preserve"> </w:t>
      </w:r>
      <w:r w:rsidRPr="1076C835" w:rsidR="42AF3CF7">
        <w:rPr>
          <w:rFonts w:ascii="Arial" w:hAnsi="Arial" w:eastAsia="Arial" w:cs="Arial"/>
          <w:b w:val="1"/>
          <w:bCs w:val="1"/>
          <w:noProof w:val="0"/>
          <w:sz w:val="24"/>
          <w:szCs w:val="24"/>
          <w:lang w:val="es-CO"/>
        </w:rPr>
        <w:t>Concepto</w:t>
      </w:r>
    </w:p>
    <w:p w:rsidR="71145355" w:rsidP="35B2FBC5" w:rsidRDefault="71145355" w14:paraId="1891D6F1" w14:textId="67E249EE">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D</w:t>
      </w:r>
      <w:r w:rsidRPr="35B2FBC5" w:rsidR="1ABBCF78">
        <w:rPr>
          <w:rFonts w:ascii="Arial" w:hAnsi="Arial" w:eastAsia="Arial" w:cs="Arial"/>
          <w:noProof w:val="0"/>
          <w:sz w:val="24"/>
          <w:szCs w:val="24"/>
          <w:lang w:val="es-CO"/>
        </w:rPr>
        <w:t xml:space="preserve">e acuerdo con la literatura sobre la problemática de la violencia intrafamiliar (VIF), a principios de la década de 1970, el reconocimiento de esta forma de violencia comenzó a ganar terreno en algunos países occidentales, en paralelo al aumento de la visibilidad de los derechos humanos de colectivos vulnerables como mujeres, niños y personas con discapacidades. Alonso y Castellanos (2006) subrayan que la violencia familiar, y en particular los malos tratos infantiles, se han destacado como graves problemas que afectan negativamente el desarrollo y la socialización de los niños. </w:t>
      </w:r>
    </w:p>
    <w:p w:rsidR="71145355" w:rsidP="35B2FBC5" w:rsidRDefault="71145355" w14:paraId="470DD7C8" w14:textId="2365A690">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En este sentido, Alonso y Castellanos (2006) también destacan que la violencia es una manifestación negativa del poder. Resaltan la importancia de metodologías que promuevan pautas de crianza no violentas y fomenten vínculos afectivos basados en la comprensión y el respeto mutuo. Además, abogan por un enfoque integral en la intervención de la violencia familiar, superando las perspectivas fragmentadas que se centran solo en la mujer, el niño o el agresor, para ofrecer una respuesta adecuada a todos los miembros de la familia. </w:t>
      </w:r>
    </w:p>
    <w:p w:rsidR="71145355" w:rsidP="35B2FBC5" w:rsidRDefault="71145355" w14:paraId="249EBF38" w14:textId="6FC8748A">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La violencia intrafamiliar ha sido definida por muchos autores como una problemática presente a nivel mundial, generando afectaciones graves en la comunidad. Arce y Fariña (2010), desde España, definen la VIF como cualquier acción u omisión que se produce dentro de una familia y que causa daño en diversas áreas de la vida de otra persona, afectando la estabilidad del grupo familiar. Este fenómeno tiende a agudizarse y normalizarse, lo que implica un empeoramiento si no se atiende adecuadamente. Entre los tipos de violencia intrafamiliar mencionados se incluyen la física, psicológica y sexual, así como el abandono y la negligencia. </w:t>
      </w:r>
    </w:p>
    <w:p w:rsidR="71145355" w:rsidP="35B2FBC5" w:rsidRDefault="71145355" w14:paraId="36534E1C" w14:textId="3BCA88C2">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Además, es relevante mencionar que, de acuerdo con Alonso y Castellanos (2006), la violencia intrafamiliar puede presentarse de manera bidireccional. Esto significa que tanto la víctima como el ofensor pueden alternar en los roles, aunque para determinar este tipo de violencia es necesario confirmar la simetría en la fuerza física y los recursos psicológicos de las personas involucradas. Este tipo de violencia puede tener consecuencias distintas, dependiendo de las dinámicas familiares. </w:t>
      </w:r>
    </w:p>
    <w:p w:rsidR="71145355" w:rsidP="35B2FBC5" w:rsidRDefault="71145355" w14:paraId="70CA7684" w14:textId="396DD40C">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3882751F">
        <w:rPr>
          <w:rFonts w:ascii="Arial" w:hAnsi="Arial" w:eastAsia="Arial" w:cs="Arial"/>
          <w:noProof w:val="0"/>
          <w:sz w:val="24"/>
          <w:szCs w:val="24"/>
          <w:lang w:val="es-CO"/>
        </w:rPr>
        <w:t>Según el estudio de Morillo et al. (2021), las familias que presentan dinámicas violentas y escasa comunicación favorecen la aparición de comportamientos agresivos en los adolescentes. En particular, la crianza coercitiva o autoritaria se asocia directamente con un aumento de la agresividad juvenil, ya que establece un entorno propicio para la manifestación de violencia bidireccional.</w:t>
      </w:r>
    </w:p>
    <w:p w:rsidR="65EE00FC" w:rsidP="35B2FBC5" w:rsidRDefault="65EE00FC" w14:paraId="1C75F11E" w14:textId="1437B167">
      <w:pPr>
        <w:spacing w:before="0" w:beforeAutospacing="off" w:after="160" w:afterAutospacing="off" w:line="480" w:lineRule="auto"/>
        <w:ind w:firstLine="708"/>
        <w:jc w:val="both"/>
        <w:rPr>
          <w:rFonts w:ascii="Arial" w:hAnsi="Arial" w:eastAsia="Arial" w:cs="Arial"/>
          <w:noProof w:val="0"/>
          <w:sz w:val="22"/>
          <w:szCs w:val="22"/>
          <w:lang w:val="es-CO"/>
        </w:rPr>
      </w:pPr>
      <w:r w:rsidRPr="35B2FBC5" w:rsidR="65EE00FC">
        <w:rPr>
          <w:rFonts w:ascii="Arial" w:hAnsi="Arial" w:eastAsia="Arial" w:cs="Arial"/>
          <w:noProof w:val="0"/>
          <w:sz w:val="24"/>
          <w:szCs w:val="24"/>
          <w:lang w:val="es-CO"/>
        </w:rPr>
        <w:t>Ibabe</w:t>
      </w:r>
      <w:r w:rsidRPr="35B2FBC5" w:rsidR="65EE00FC">
        <w:rPr>
          <w:rFonts w:ascii="Arial" w:hAnsi="Arial" w:eastAsia="Arial" w:cs="Arial"/>
          <w:noProof w:val="0"/>
          <w:sz w:val="24"/>
          <w:szCs w:val="24"/>
          <w:lang w:val="es-CO"/>
        </w:rPr>
        <w:t xml:space="preserve"> (2020, en </w:t>
      </w:r>
      <w:r w:rsidRPr="35B2FBC5" w:rsidR="65EE00FC">
        <w:rPr>
          <w:rFonts w:ascii="Arial" w:hAnsi="Arial" w:eastAsia="Arial" w:cs="Arial"/>
          <w:b w:val="0"/>
          <w:bCs w:val="0"/>
          <w:noProof w:val="0"/>
          <w:sz w:val="24"/>
          <w:szCs w:val="24"/>
          <w:lang w:val="en-US"/>
        </w:rPr>
        <w:t xml:space="preserve">Venables, J., Young, A., O’Leary, P., &amp; </w:t>
      </w:r>
      <w:r w:rsidRPr="35B2FBC5" w:rsidR="65EE00FC">
        <w:rPr>
          <w:rFonts w:ascii="Arial" w:hAnsi="Arial" w:eastAsia="Arial" w:cs="Arial"/>
          <w:b w:val="0"/>
          <w:bCs w:val="0"/>
          <w:noProof w:val="0"/>
          <w:sz w:val="24"/>
          <w:szCs w:val="24"/>
          <w:lang w:val="en-US"/>
        </w:rPr>
        <w:t>Dragiewicz</w:t>
      </w:r>
      <w:r w:rsidRPr="35B2FBC5" w:rsidR="65EE00FC">
        <w:rPr>
          <w:rFonts w:ascii="Arial" w:hAnsi="Arial" w:eastAsia="Arial" w:cs="Arial"/>
          <w:b w:val="0"/>
          <w:bCs w:val="0"/>
          <w:noProof w:val="0"/>
          <w:sz w:val="24"/>
          <w:szCs w:val="24"/>
          <w:lang w:val="en-US"/>
        </w:rPr>
        <w:t>, M</w:t>
      </w:r>
      <w:r w:rsidRPr="35B2FBC5" w:rsidR="65EE00FC">
        <w:rPr>
          <w:rFonts w:ascii="Arial" w:hAnsi="Arial" w:eastAsia="Arial" w:cs="Arial"/>
          <w:b w:val="1"/>
          <w:bCs w:val="1"/>
          <w:noProof w:val="0"/>
          <w:sz w:val="24"/>
          <w:szCs w:val="24"/>
          <w:lang w:val="en-US"/>
        </w:rPr>
        <w:t>.</w:t>
      </w:r>
      <w:r w:rsidRPr="35B2FBC5" w:rsidR="65EE00FC">
        <w:rPr>
          <w:rFonts w:ascii="Arial" w:hAnsi="Arial" w:eastAsia="Arial" w:cs="Arial"/>
          <w:noProof w:val="0"/>
          <w:sz w:val="24"/>
          <w:szCs w:val="24"/>
          <w:lang w:val="en-US"/>
        </w:rPr>
        <w:t xml:space="preserve"> (2025</w:t>
      </w:r>
      <w:r w:rsidRPr="35B2FBC5" w:rsidR="65EE00FC">
        <w:rPr>
          <w:rFonts w:ascii="Arial" w:hAnsi="Arial" w:eastAsia="Arial" w:cs="Arial"/>
          <w:noProof w:val="0"/>
          <w:sz w:val="24"/>
          <w:szCs w:val="24"/>
          <w:lang w:val="es-CO"/>
        </w:rPr>
        <w:t>)propuso una tipología que categoriza el uso de la violencia por parte de los adolescentes como: a) ofensiva b) defensiva c) afectiva (violencia impulsiva y espontánea en ausencia de abuso entre los padres) o d) situacional (agresión menor en contextos de conflicto puntual). La violencia "ofensiva" de adolescentes hacia adultos la definen como un patrón de acciones abusivas utilizadas intencionalmente por los adolescentes para obtener poder y control sobre los padres, o para causarles daño físico, psicológico o financiero</w:t>
      </w:r>
      <w:r w:rsidRPr="35B2FBC5" w:rsidR="243BE0AF">
        <w:rPr>
          <w:rFonts w:ascii="Arial" w:hAnsi="Arial" w:eastAsia="Arial" w:cs="Arial"/>
          <w:noProof w:val="0"/>
          <w:sz w:val="24"/>
          <w:szCs w:val="24"/>
          <w:lang w:val="es-CO"/>
        </w:rPr>
        <w:t xml:space="preserve">. </w:t>
      </w:r>
    </w:p>
    <w:p w:rsidR="243BE0AF" w:rsidP="35B2FBC5" w:rsidRDefault="243BE0AF" w14:paraId="26B3862E" w14:textId="38D57D9A">
      <w:pPr>
        <w:spacing w:before="0" w:beforeAutospacing="off" w:after="160" w:afterAutospacing="off" w:line="480" w:lineRule="auto"/>
        <w:ind w:firstLine="708"/>
        <w:jc w:val="both"/>
        <w:rPr>
          <w:rFonts w:ascii="Arial" w:hAnsi="Arial" w:eastAsia="Arial" w:cs="Arial"/>
          <w:noProof w:val="0"/>
          <w:sz w:val="22"/>
          <w:szCs w:val="22"/>
          <w:lang w:val="es-CO"/>
        </w:rPr>
      </w:pPr>
      <w:r w:rsidRPr="35B2FBC5" w:rsidR="243BE0AF">
        <w:rPr>
          <w:rFonts w:ascii="Arial" w:hAnsi="Arial" w:eastAsia="Arial" w:cs="Arial"/>
          <w:noProof w:val="0"/>
          <w:sz w:val="24"/>
          <w:szCs w:val="24"/>
          <w:lang w:val="es-CO"/>
        </w:rPr>
        <w:t xml:space="preserve">Por otro lado, según López et al. (2017), los esquemas de socialización en la infancia influyen en el comportamiento adulto, ya que los niños criados en ambientes violentos suelen normalizar esas experiencias. Así, en la vida adulta, es probable que aquellos que fueron víctimas reproduzcan esos patrones, convirtiéndose en agresores. Un estudio de Walton y Pérez (2019) en familias cubanas revela que la exposición a patrones socioculturales violentos, incluido el consumo de alcohol y drogas, contribuye a normalizar la violencia y establecer un ciclo bidireccional en las dinámicas familiares, afectando tanto la violencia física como la psicológica. </w:t>
      </w:r>
      <w:r w:rsidRPr="35B2FBC5" w:rsidR="243BE0AF">
        <w:rPr>
          <w:rFonts w:ascii="Arial" w:hAnsi="Arial" w:eastAsia="Arial" w:cs="Arial"/>
          <w:noProof w:val="0"/>
          <w:color w:val="000000" w:themeColor="text1" w:themeTint="FF" w:themeShade="FF"/>
          <w:sz w:val="24"/>
          <w:szCs w:val="24"/>
          <w:lang w:val="en-US"/>
        </w:rPr>
        <w:t xml:space="preserve">Venables, J., Young, A., O’Leary, P., &amp; </w:t>
      </w:r>
      <w:r w:rsidRPr="35B2FBC5" w:rsidR="243BE0AF">
        <w:rPr>
          <w:rFonts w:ascii="Arial" w:hAnsi="Arial" w:eastAsia="Arial" w:cs="Arial"/>
          <w:noProof w:val="0"/>
          <w:sz w:val="24"/>
          <w:szCs w:val="24"/>
          <w:lang w:val="en-US"/>
        </w:rPr>
        <w:t>Dragiewicz</w:t>
      </w:r>
      <w:r w:rsidRPr="35B2FBC5" w:rsidR="243BE0AF">
        <w:rPr>
          <w:rFonts w:ascii="Arial" w:hAnsi="Arial" w:eastAsia="Arial" w:cs="Arial"/>
          <w:noProof w:val="0"/>
          <w:sz w:val="24"/>
          <w:szCs w:val="24"/>
          <w:lang w:val="en-US"/>
        </w:rPr>
        <w:t>, M</w:t>
      </w:r>
      <w:r w:rsidRPr="35B2FBC5" w:rsidR="243BE0AF">
        <w:rPr>
          <w:rFonts w:ascii="Arial" w:hAnsi="Arial" w:eastAsia="Arial" w:cs="Arial"/>
          <w:b w:val="1"/>
          <w:bCs w:val="1"/>
          <w:noProof w:val="0"/>
          <w:sz w:val="24"/>
          <w:szCs w:val="24"/>
          <w:lang w:val="en-US"/>
        </w:rPr>
        <w:t>.</w:t>
      </w:r>
      <w:r w:rsidRPr="35B2FBC5" w:rsidR="243BE0AF">
        <w:rPr>
          <w:rFonts w:ascii="Arial" w:hAnsi="Arial" w:eastAsia="Arial" w:cs="Arial"/>
          <w:noProof w:val="0"/>
          <w:sz w:val="24"/>
          <w:szCs w:val="24"/>
          <w:lang w:val="en-US"/>
        </w:rPr>
        <w:t>, (2025</w:t>
      </w:r>
      <w:r w:rsidRPr="35B2FBC5" w:rsidR="243BE0AF">
        <w:rPr>
          <w:rFonts w:ascii="Arial" w:hAnsi="Arial" w:eastAsia="Arial" w:cs="Arial"/>
          <w:noProof w:val="0"/>
          <w:color w:val="000000" w:themeColor="text1" w:themeTint="FF" w:themeShade="FF"/>
          <w:sz w:val="24"/>
          <w:szCs w:val="24"/>
          <w:lang w:val="es-CO"/>
        </w:rPr>
        <w:t>) mencionan que, a</w:t>
      </w:r>
      <w:r w:rsidRPr="35B2FBC5" w:rsidR="243BE0AF">
        <w:rPr>
          <w:rFonts w:ascii="Arial" w:hAnsi="Arial" w:eastAsia="Arial" w:cs="Arial"/>
          <w:noProof w:val="0"/>
          <w:sz w:val="24"/>
          <w:szCs w:val="24"/>
          <w:lang w:val="es-CO"/>
        </w:rPr>
        <w:t>unque entre el 50-80% de los casos donde hay violencia de los adolescentes a la madre y padre, hubo violencia entre los padres donde el adolescente estuvo expuesto, no se puede hablar de una relación causal.</w:t>
      </w:r>
    </w:p>
    <w:p w:rsidR="71145355" w:rsidP="35B2FBC5" w:rsidRDefault="71145355" w14:paraId="232C6928" w14:textId="4EEAC40A">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Asimismo, otro factor que influye en la violencia intrafamiliar ejercida por adolescentes es el tiempo de exposición a videojuegos con contenido violento. Según la investigación de Lanz et al. (2013) en la ciudad de México, se encontró que aquellos adolescentes con mayor exposición a videojuegos violentos presentaban niveles más altos de violencia intrafamiliar. Esta diferencia fue estadísticamente significativa, y los resultados indican que, a mayor exposición a estos videojuegos, se correlaciona también con un aumento en la agresión, la sintomatología depresiva y la violencia intrafamiliar. </w:t>
      </w:r>
    </w:p>
    <w:p w:rsidR="1ABBCF78" w:rsidP="35B2FBC5" w:rsidRDefault="1ABBCF78" w14:paraId="5C49FE2B" w14:textId="52693D37">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Por otro lado, diversos estudios subrayan la necesidad de investigar la violencia intrafamiliar perpetrada por adolescentes desde una perspectiva de </w:t>
      </w:r>
      <w:r w:rsidRPr="35B2FBC5" w:rsidR="1ABBCF78">
        <w:rPr>
          <w:rFonts w:ascii="Arial" w:hAnsi="Arial" w:eastAsia="Arial" w:cs="Arial"/>
          <w:noProof w:val="0"/>
          <w:sz w:val="24"/>
          <w:szCs w:val="24"/>
          <w:lang w:val="es-CO"/>
        </w:rPr>
        <w:t>género</w:t>
      </w:r>
      <w:r w:rsidRPr="35B2FBC5" w:rsidR="1ABBCF78">
        <w:rPr>
          <w:rFonts w:ascii="Arial" w:hAnsi="Arial" w:eastAsia="Arial" w:cs="Arial"/>
          <w:noProof w:val="0"/>
          <w:sz w:val="24"/>
          <w:szCs w:val="24"/>
          <w:lang w:val="es-CO"/>
        </w:rPr>
        <w:t xml:space="preserve">. Un estudio de Restrepo y Acosta-Tobón (2023) con 1,050 jóvenes infractores reveló que los delitos más frecuentes entre los hombres fueron el porte, tráfico o fabricación de estupefacientes, así como el hurto agravado. En contraste, las mujeres presentaron mayor incidencia en violencia intrafamiliar y hurto agravado. Adicionalmente, una investigación realizada en Estados Unidos por Taylor y </w:t>
      </w:r>
      <w:r w:rsidRPr="35B2FBC5" w:rsidR="1ABBCF78">
        <w:rPr>
          <w:rFonts w:ascii="Arial" w:hAnsi="Arial" w:eastAsia="Arial" w:cs="Arial"/>
          <w:noProof w:val="0"/>
          <w:sz w:val="24"/>
          <w:szCs w:val="24"/>
          <w:lang w:val="es-CO"/>
        </w:rPr>
        <w:t>Borduin</w:t>
      </w:r>
      <w:r w:rsidRPr="35B2FBC5" w:rsidR="1ABBCF78">
        <w:rPr>
          <w:rFonts w:ascii="Arial" w:hAnsi="Arial" w:eastAsia="Arial" w:cs="Arial"/>
          <w:noProof w:val="0"/>
          <w:sz w:val="24"/>
          <w:szCs w:val="24"/>
          <w:lang w:val="es-CO"/>
        </w:rPr>
        <w:t xml:space="preserve"> (2014) encontró que las infractoras juveniles mostraban niveles más altos de agresión relacional en interacciones familiares en comparación con sus contrapartes masculinas. </w:t>
      </w:r>
    </w:p>
    <w:p w:rsidR="7819193D" w:rsidP="35B2FBC5" w:rsidRDefault="7819193D" w14:paraId="2633AE69" w14:textId="279FB619">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7819193D">
        <w:rPr>
          <w:rFonts w:ascii="Arial" w:hAnsi="Arial" w:eastAsia="Arial" w:cs="Arial"/>
          <w:noProof w:val="0"/>
          <w:color w:val="000000" w:themeColor="text1" w:themeTint="FF" w:themeShade="FF"/>
          <w:sz w:val="24"/>
          <w:szCs w:val="24"/>
          <w:lang w:val="en-US"/>
        </w:rPr>
        <w:t xml:space="preserve">Venables, J., Young, A., O’Leary, P., &amp; </w:t>
      </w:r>
      <w:r w:rsidRPr="35B2FBC5" w:rsidR="7819193D">
        <w:rPr>
          <w:rFonts w:ascii="Arial" w:hAnsi="Arial" w:eastAsia="Arial" w:cs="Arial"/>
          <w:noProof w:val="0"/>
          <w:sz w:val="24"/>
          <w:szCs w:val="24"/>
          <w:lang w:val="en-US"/>
        </w:rPr>
        <w:t>Dragiewicz</w:t>
      </w:r>
      <w:r w:rsidRPr="35B2FBC5" w:rsidR="7819193D">
        <w:rPr>
          <w:rFonts w:ascii="Arial" w:hAnsi="Arial" w:eastAsia="Arial" w:cs="Arial"/>
          <w:noProof w:val="0"/>
          <w:sz w:val="24"/>
          <w:szCs w:val="24"/>
          <w:lang w:val="en-US"/>
        </w:rPr>
        <w:t>, M</w:t>
      </w:r>
      <w:r w:rsidRPr="35B2FBC5" w:rsidR="7819193D">
        <w:rPr>
          <w:rFonts w:ascii="Arial" w:hAnsi="Arial" w:eastAsia="Arial" w:cs="Arial"/>
          <w:b w:val="1"/>
          <w:bCs w:val="1"/>
          <w:noProof w:val="0"/>
          <w:sz w:val="24"/>
          <w:szCs w:val="24"/>
          <w:lang w:val="en-US"/>
        </w:rPr>
        <w:t>.</w:t>
      </w:r>
      <w:r w:rsidRPr="35B2FBC5" w:rsidR="7819193D">
        <w:rPr>
          <w:rFonts w:ascii="Arial" w:hAnsi="Arial" w:eastAsia="Arial" w:cs="Arial"/>
          <w:noProof w:val="0"/>
          <w:sz w:val="24"/>
          <w:szCs w:val="24"/>
          <w:lang w:val="en-US"/>
        </w:rPr>
        <w:t>, (2025</w:t>
      </w:r>
      <w:r w:rsidRPr="35B2FBC5" w:rsidR="7819193D">
        <w:rPr>
          <w:rFonts w:ascii="Arial" w:hAnsi="Arial" w:eastAsia="Arial" w:cs="Arial"/>
          <w:noProof w:val="0"/>
          <w:color w:val="000000" w:themeColor="text1" w:themeTint="FF" w:themeShade="FF"/>
          <w:sz w:val="24"/>
          <w:szCs w:val="24"/>
          <w:lang w:val="es-CO"/>
        </w:rPr>
        <w:t xml:space="preserve">) </w:t>
      </w:r>
      <w:r w:rsidRPr="35B2FBC5" w:rsidR="7819193D">
        <w:rPr>
          <w:rFonts w:ascii="Arial" w:hAnsi="Arial" w:eastAsia="Arial" w:cs="Arial"/>
          <w:noProof w:val="0"/>
          <w:sz w:val="24"/>
          <w:szCs w:val="24"/>
          <w:lang w:val="es-CO"/>
        </w:rPr>
        <w:t xml:space="preserve">indican que los niños y adolescentes recurren a la normalización generalizada de la dominación masculina y la subordinación femenina para justificar el abuso hacia sus madres, encontraron argumentos </w:t>
      </w:r>
      <w:r w:rsidRPr="35B2FBC5" w:rsidR="7819193D">
        <w:rPr>
          <w:rFonts w:ascii="Arial" w:hAnsi="Arial" w:eastAsia="Arial" w:cs="Arial"/>
          <w:noProof w:val="0"/>
          <w:sz w:val="24"/>
          <w:szCs w:val="24"/>
          <w:lang w:val="es-CO"/>
        </w:rPr>
        <w:t>justificatorios</w:t>
      </w:r>
      <w:r w:rsidRPr="35B2FBC5" w:rsidR="7819193D">
        <w:rPr>
          <w:rFonts w:ascii="Arial" w:hAnsi="Arial" w:eastAsia="Arial" w:cs="Arial"/>
          <w:noProof w:val="0"/>
          <w:sz w:val="24"/>
          <w:szCs w:val="24"/>
          <w:lang w:val="es-CO"/>
        </w:rPr>
        <w:t xml:space="preserve"> basados en creencias basadas en género. </w:t>
      </w:r>
      <w:r w:rsidRPr="35B2FBC5" w:rsidR="7819193D">
        <w:rPr>
          <w:rFonts w:ascii="Arial" w:hAnsi="Arial" w:eastAsia="Arial" w:cs="Arial"/>
          <w:noProof w:val="0"/>
          <w:sz w:val="24"/>
          <w:szCs w:val="24"/>
          <w:lang w:val="es-CO"/>
        </w:rPr>
        <w:t>Cottrell</w:t>
      </w:r>
      <w:r w:rsidRPr="35B2FBC5" w:rsidR="7819193D">
        <w:rPr>
          <w:rFonts w:ascii="Arial" w:hAnsi="Arial" w:eastAsia="Arial" w:cs="Arial"/>
          <w:noProof w:val="0"/>
          <w:sz w:val="24"/>
          <w:szCs w:val="24"/>
          <w:lang w:val="es-CO"/>
        </w:rPr>
        <w:t xml:space="preserve"> y </w:t>
      </w:r>
      <w:r w:rsidRPr="35B2FBC5" w:rsidR="7819193D">
        <w:rPr>
          <w:rFonts w:ascii="Arial" w:hAnsi="Arial" w:eastAsia="Arial" w:cs="Arial"/>
          <w:noProof w:val="0"/>
          <w:sz w:val="24"/>
          <w:szCs w:val="24"/>
          <w:lang w:val="es-CO"/>
        </w:rPr>
        <w:t>Monk</w:t>
      </w:r>
      <w:r w:rsidRPr="35B2FBC5" w:rsidR="7819193D">
        <w:rPr>
          <w:rFonts w:ascii="Arial" w:hAnsi="Arial" w:eastAsia="Arial" w:cs="Arial"/>
          <w:noProof w:val="0"/>
          <w:sz w:val="24"/>
          <w:szCs w:val="24"/>
          <w:lang w:val="es-CO"/>
        </w:rPr>
        <w:t xml:space="preserve"> (2004 en </w:t>
      </w:r>
      <w:r w:rsidRPr="35B2FBC5" w:rsidR="7819193D">
        <w:rPr>
          <w:rFonts w:ascii="Arial" w:hAnsi="Arial" w:eastAsia="Arial" w:cs="Arial"/>
          <w:noProof w:val="0"/>
          <w:color w:val="000000" w:themeColor="text1" w:themeTint="FF" w:themeShade="FF"/>
          <w:sz w:val="24"/>
          <w:szCs w:val="24"/>
          <w:lang w:val="en-US"/>
        </w:rPr>
        <w:t xml:space="preserve">Venables, J., Young, A., O’Leary, P., &amp; </w:t>
      </w:r>
      <w:r w:rsidRPr="35B2FBC5" w:rsidR="7819193D">
        <w:rPr>
          <w:rFonts w:ascii="Arial" w:hAnsi="Arial" w:eastAsia="Arial" w:cs="Arial"/>
          <w:noProof w:val="0"/>
          <w:sz w:val="24"/>
          <w:szCs w:val="24"/>
          <w:lang w:val="en-US"/>
        </w:rPr>
        <w:t>Dragiewicz</w:t>
      </w:r>
      <w:r w:rsidRPr="35B2FBC5" w:rsidR="7819193D">
        <w:rPr>
          <w:rFonts w:ascii="Arial" w:hAnsi="Arial" w:eastAsia="Arial" w:cs="Arial"/>
          <w:noProof w:val="0"/>
          <w:sz w:val="24"/>
          <w:szCs w:val="24"/>
          <w:lang w:val="en-US"/>
        </w:rPr>
        <w:t>, M</w:t>
      </w:r>
      <w:r w:rsidRPr="35B2FBC5" w:rsidR="7819193D">
        <w:rPr>
          <w:rFonts w:ascii="Arial" w:hAnsi="Arial" w:eastAsia="Arial" w:cs="Arial"/>
          <w:b w:val="1"/>
          <w:bCs w:val="1"/>
          <w:noProof w:val="0"/>
          <w:sz w:val="24"/>
          <w:szCs w:val="24"/>
          <w:lang w:val="en-US"/>
        </w:rPr>
        <w:t>.</w:t>
      </w:r>
      <w:r w:rsidRPr="35B2FBC5" w:rsidR="7819193D">
        <w:rPr>
          <w:rFonts w:ascii="Arial" w:hAnsi="Arial" w:eastAsia="Arial" w:cs="Arial"/>
          <w:noProof w:val="0"/>
          <w:sz w:val="24"/>
          <w:szCs w:val="24"/>
          <w:lang w:val="en-US"/>
        </w:rPr>
        <w:t>, 2025</w:t>
      </w:r>
      <w:r w:rsidRPr="35B2FBC5" w:rsidR="7819193D">
        <w:rPr>
          <w:rFonts w:ascii="Arial" w:hAnsi="Arial" w:eastAsia="Arial" w:cs="Arial"/>
          <w:noProof w:val="0"/>
          <w:sz w:val="24"/>
          <w:szCs w:val="24"/>
          <w:lang w:val="es-CO"/>
        </w:rPr>
        <w:t>) identificaron un patrón en el que los hijos comienzan a abusar de sus madres poco después de que el padre o pareja violenta abandona el hogar familiar, señalando que: los comportamientos violentos son producto del modelamiento directo de roles masculinos, la idealización del agresor y la rabia hacia la madre por no haber protegido a la familia.</w:t>
      </w:r>
    </w:p>
    <w:p w:rsidR="35B2FBC5" w:rsidP="35B2FBC5" w:rsidRDefault="35B2FBC5" w14:paraId="1D1265F1" w14:textId="0376D86C">
      <w:pPr>
        <w:spacing w:before="0" w:beforeAutospacing="off" w:after="0" w:afterAutospacing="off" w:line="480" w:lineRule="auto"/>
        <w:ind w:firstLine="709"/>
        <w:jc w:val="both"/>
        <w:rPr>
          <w:rFonts w:ascii="Arial" w:hAnsi="Arial" w:eastAsia="Arial" w:cs="Arial"/>
          <w:noProof w:val="0"/>
          <w:sz w:val="24"/>
          <w:szCs w:val="24"/>
          <w:lang w:val="es-CO"/>
        </w:rPr>
      </w:pPr>
    </w:p>
    <w:p w:rsidR="2E7BCFCA" w:rsidP="2E7BCFCA" w:rsidRDefault="2E7BCFCA" w14:paraId="470B3C7C" w14:textId="3BD190A6">
      <w:pPr>
        <w:spacing w:before="0" w:beforeAutospacing="off" w:after="0" w:afterAutospacing="off" w:line="480" w:lineRule="auto"/>
        <w:ind w:firstLine="709"/>
        <w:jc w:val="both"/>
        <w:rPr>
          <w:rFonts w:ascii="Arial" w:hAnsi="Arial" w:eastAsia="Arial" w:cs="Arial"/>
          <w:noProof w:val="0"/>
          <w:sz w:val="24"/>
          <w:szCs w:val="24"/>
          <w:lang w:val="es-CO"/>
        </w:rPr>
      </w:pPr>
    </w:p>
    <w:p w:rsidR="2E7BCFCA" w:rsidP="2E7BCFCA" w:rsidRDefault="2E7BCFCA" w14:paraId="3A7F073A" w14:textId="1939B23E">
      <w:pPr>
        <w:spacing w:before="0" w:beforeAutospacing="off" w:after="0" w:afterAutospacing="off" w:line="480" w:lineRule="auto"/>
        <w:ind w:firstLine="709"/>
        <w:jc w:val="both"/>
        <w:rPr>
          <w:rFonts w:ascii="Arial" w:hAnsi="Arial" w:eastAsia="Arial" w:cs="Arial"/>
          <w:noProof w:val="0"/>
          <w:sz w:val="24"/>
          <w:szCs w:val="24"/>
          <w:lang w:val="es-CO"/>
        </w:rPr>
      </w:pPr>
    </w:p>
    <w:p w:rsidR="35B2FBC5" w:rsidP="35B2FBC5" w:rsidRDefault="35B2FBC5" w14:paraId="2DA8F3CD" w14:textId="63EACA22">
      <w:pPr>
        <w:spacing w:before="0" w:beforeAutospacing="off" w:after="0" w:afterAutospacing="off" w:line="480" w:lineRule="auto"/>
        <w:ind w:firstLine="709"/>
        <w:jc w:val="both"/>
        <w:rPr>
          <w:rFonts w:ascii="Arial" w:hAnsi="Arial" w:eastAsia="Arial" w:cs="Arial"/>
          <w:noProof w:val="0"/>
          <w:sz w:val="24"/>
          <w:szCs w:val="24"/>
          <w:lang w:val="es-CO"/>
        </w:rPr>
      </w:pPr>
    </w:p>
    <w:p w:rsidR="7819193D" w:rsidP="35B2FBC5" w:rsidRDefault="7819193D" w14:paraId="66682131" w14:textId="03DA4ACB">
      <w:pPr>
        <w:spacing w:before="0" w:beforeAutospacing="off" w:after="0" w:afterAutospacing="off" w:line="480" w:lineRule="auto"/>
        <w:ind w:firstLine="709"/>
        <w:jc w:val="both"/>
        <w:rPr>
          <w:rFonts w:ascii="Arial" w:hAnsi="Arial" w:eastAsia="Arial" w:cs="Arial"/>
          <w:b w:val="1"/>
          <w:bCs w:val="1"/>
          <w:noProof w:val="0"/>
          <w:sz w:val="24"/>
          <w:szCs w:val="24"/>
          <w:lang w:val="es-CO"/>
        </w:rPr>
      </w:pPr>
      <w:r w:rsidRPr="35B2FBC5" w:rsidR="7819193D">
        <w:rPr>
          <w:rFonts w:ascii="Arial" w:hAnsi="Arial" w:eastAsia="Arial" w:cs="Arial"/>
          <w:b w:val="1"/>
          <w:bCs w:val="1"/>
          <w:noProof w:val="0"/>
          <w:sz w:val="24"/>
          <w:szCs w:val="24"/>
          <w:lang w:val="es-CO"/>
        </w:rPr>
        <w:t>Perfil del ofensor</w:t>
      </w:r>
    </w:p>
    <w:p w:rsidR="7819193D" w:rsidP="35B2FBC5" w:rsidRDefault="7819193D" w14:paraId="2CFC5B40" w14:textId="75889197">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7819193D">
        <w:rPr>
          <w:rFonts w:ascii="Arial" w:hAnsi="Arial" w:eastAsia="Arial" w:cs="Arial"/>
          <w:noProof w:val="0"/>
          <w:sz w:val="24"/>
          <w:szCs w:val="24"/>
          <w:lang w:val="es-CO"/>
        </w:rPr>
        <w:t xml:space="preserve">Además, de acuerdo con Taylor y </w:t>
      </w:r>
      <w:r w:rsidRPr="35B2FBC5" w:rsidR="7819193D">
        <w:rPr>
          <w:rFonts w:ascii="Arial" w:hAnsi="Arial" w:eastAsia="Arial" w:cs="Arial"/>
          <w:noProof w:val="0"/>
          <w:sz w:val="24"/>
          <w:szCs w:val="24"/>
          <w:lang w:val="es-CO"/>
        </w:rPr>
        <w:t>Borduin</w:t>
      </w:r>
      <w:r w:rsidRPr="35B2FBC5" w:rsidR="7819193D">
        <w:rPr>
          <w:rFonts w:ascii="Arial" w:hAnsi="Arial" w:eastAsia="Arial" w:cs="Arial"/>
          <w:noProof w:val="0"/>
          <w:sz w:val="24"/>
          <w:szCs w:val="24"/>
          <w:lang w:val="es-CO"/>
        </w:rPr>
        <w:t xml:space="preserve"> (2014) la mayoría de las investigaciones indican que entre un 62,3% y un 80% de los casos de violencia intrafamiliar son perpetrados por adolescentes varones. El comportamiento violento comienza entre los 10 y 15 años, alcanzando su punto máximo entre los 14 y 16 años. Epidemiológicamente, se han descrito dos brechas de género en VIF: aunque chicas y chicos participan de forma similar en esta problemática, las chicas tienden a ser ligeramente más jóvenes y participan más en violencia psicológica, mientras que la violencia física que ejercen es de menor gravedad.</w:t>
      </w:r>
    </w:p>
    <w:p w:rsidR="71145355" w:rsidP="35B2FBC5" w:rsidRDefault="71145355" w14:paraId="23626C0B" w14:textId="085124E0">
      <w:pPr>
        <w:spacing w:before="0" w:beforeAutospacing="off" w:after="0" w:afterAutospacing="off" w:line="480" w:lineRule="auto"/>
        <w:ind w:firstLine="709"/>
        <w:jc w:val="both"/>
      </w:pPr>
      <w:r w:rsidRPr="35B2FBC5" w:rsidR="7819193D">
        <w:rPr>
          <w:rFonts w:ascii="Arial" w:hAnsi="Arial" w:eastAsia="Arial" w:cs="Arial"/>
          <w:noProof w:val="0"/>
          <w:sz w:val="24"/>
          <w:szCs w:val="24"/>
          <w:lang w:val="es-CO"/>
        </w:rPr>
        <w:t>E</w:t>
      </w:r>
      <w:r w:rsidRPr="35B2FBC5" w:rsidR="1ABBCF78">
        <w:rPr>
          <w:rFonts w:ascii="Arial" w:hAnsi="Arial" w:eastAsia="Arial" w:cs="Arial"/>
          <w:noProof w:val="0"/>
          <w:sz w:val="24"/>
          <w:szCs w:val="24"/>
          <w:lang w:val="es-CO"/>
        </w:rPr>
        <w:t>n este sentido, la mayoría de los estudios afirman que las mujeres de la familia, especialmente las madres y/o cuidadoras, son las que más frecuentemente experimentan maltrato.</w:t>
      </w:r>
      <w:r w:rsidRPr="35B2FBC5" w:rsidR="1ABBCF78">
        <w:rPr>
          <w:rFonts w:ascii="Arial" w:hAnsi="Arial" w:eastAsia="Arial" w:cs="Arial"/>
          <w:noProof w:val="0"/>
          <w:sz w:val="24"/>
          <w:szCs w:val="24"/>
          <w:lang w:val="es-CO"/>
        </w:rPr>
        <w:t xml:space="preserve"> Este fenómeno se puede explicar en parte porque las madres asumen un rol de cuidado y crianza, compartiendo la mayor parte del tiempo con los adolescentes y, por lo tanto, siendo percibidas como figuras de debilidad (</w:t>
      </w:r>
      <w:r w:rsidRPr="35B2FBC5" w:rsidR="1ABBCF78">
        <w:rPr>
          <w:rFonts w:ascii="Arial" w:hAnsi="Arial" w:eastAsia="Arial" w:cs="Arial"/>
          <w:noProof w:val="0"/>
          <w:sz w:val="24"/>
          <w:szCs w:val="24"/>
          <w:lang w:val="es-CO"/>
        </w:rPr>
        <w:t>Cottrell</w:t>
      </w:r>
      <w:r w:rsidRPr="35B2FBC5" w:rsidR="1ABBCF78">
        <w:rPr>
          <w:rFonts w:ascii="Arial" w:hAnsi="Arial" w:eastAsia="Arial" w:cs="Arial"/>
          <w:noProof w:val="0"/>
          <w:sz w:val="24"/>
          <w:szCs w:val="24"/>
          <w:lang w:val="es-CO"/>
        </w:rPr>
        <w:t xml:space="preserve"> y </w:t>
      </w:r>
      <w:r w:rsidRPr="35B2FBC5" w:rsidR="1ABBCF78">
        <w:rPr>
          <w:rFonts w:ascii="Arial" w:hAnsi="Arial" w:eastAsia="Arial" w:cs="Arial"/>
          <w:noProof w:val="0"/>
          <w:sz w:val="24"/>
          <w:szCs w:val="24"/>
          <w:lang w:val="es-CO"/>
        </w:rPr>
        <w:t>Monk</w:t>
      </w:r>
      <w:r w:rsidRPr="35B2FBC5" w:rsidR="1ABBCF78">
        <w:rPr>
          <w:rFonts w:ascii="Arial" w:hAnsi="Arial" w:eastAsia="Arial" w:cs="Arial"/>
          <w:noProof w:val="0"/>
          <w:sz w:val="24"/>
          <w:szCs w:val="24"/>
          <w:lang w:val="es-CO"/>
        </w:rPr>
        <w:t xml:space="preserve">, 2004; </w:t>
      </w:r>
      <w:r w:rsidRPr="35B2FBC5" w:rsidR="1ABBCF78">
        <w:rPr>
          <w:rFonts w:ascii="Arial" w:hAnsi="Arial" w:eastAsia="Arial" w:cs="Arial"/>
          <w:noProof w:val="0"/>
          <w:sz w:val="24"/>
          <w:szCs w:val="24"/>
          <w:lang w:val="es-CO"/>
        </w:rPr>
        <w:t>Kethineni</w:t>
      </w:r>
      <w:r w:rsidRPr="35B2FBC5" w:rsidR="1ABBCF78">
        <w:rPr>
          <w:rFonts w:ascii="Arial" w:hAnsi="Arial" w:eastAsia="Arial" w:cs="Arial"/>
          <w:noProof w:val="0"/>
          <w:sz w:val="24"/>
          <w:szCs w:val="24"/>
          <w:lang w:val="es-CO"/>
        </w:rPr>
        <w:t xml:space="preserve">, 2004).  </w:t>
      </w:r>
    </w:p>
    <w:p w:rsidR="71145355" w:rsidP="35B2FBC5" w:rsidRDefault="71145355" w14:paraId="1C9294E0" w14:textId="5BF64297">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En relación con el perfil de los adolescentes agresores, un estudio de González et al. (2010) en España indica que los niños son más propensos a agredir a sus padres que las niñas, con un 70,1% de los agresores identificados como varones. Además, se observa que la incidencia más alta de violencia se concentra en el grupo de edad de 13 a 16 años. Respecto al rendimiento académico, se destaca que el 80,5% de los adolescentes presentan un desempeño escolar deficiente. En cuanto a las manifestaciones de conductas agresivas, el 54,3% de los adolescentes emplea tanto agresiones verbales como físicas, lo que resalta la agresión verbal como un precursor significativo de la violencia física. </w:t>
      </w:r>
    </w:p>
    <w:p w:rsidR="71145355" w:rsidP="35B2FBC5" w:rsidRDefault="71145355" w14:paraId="3CAB2130" w14:textId="39B49DE7">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Así mismo, el diagnóstico revela que el Trastorno Negativista Desafiante es el más prevalente entre los agresores, en contraste con otros estudios que han identificado el Trastorno Obsesivo-Compulsivo como el más común. </w:t>
      </w:r>
      <w:r w:rsidRPr="35B2FBC5" w:rsidR="0FB6C5E4">
        <w:rPr>
          <w:rFonts w:ascii="Arial" w:hAnsi="Arial" w:eastAsia="Arial" w:cs="Arial"/>
          <w:noProof w:val="0"/>
          <w:sz w:val="24"/>
          <w:szCs w:val="24"/>
          <w:lang w:val="es-CO"/>
        </w:rPr>
        <w:t>De igual manera</w:t>
      </w:r>
      <w:r w:rsidRPr="35B2FBC5" w:rsidR="1ABBCF78">
        <w:rPr>
          <w:rFonts w:ascii="Arial" w:hAnsi="Arial" w:eastAsia="Arial" w:cs="Arial"/>
          <w:noProof w:val="0"/>
          <w:sz w:val="24"/>
          <w:szCs w:val="24"/>
          <w:lang w:val="es-CO"/>
        </w:rPr>
        <w:t xml:space="preserve">, se evidencia que las madres son las principales víctimas de estas agresiones, lo que se correlaciona con hallazgos anteriores, y que la mayoría de las familias de los agresores son biparentales.  </w:t>
      </w:r>
    </w:p>
    <w:p w:rsidR="71145355" w:rsidP="35B2FBC5" w:rsidRDefault="71145355" w14:paraId="5D5C5206" w14:textId="4C4897A3">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Para comprender la problemática de la violencia intrafamiliar, es fundamental identificar sus posibles causas, las cuales se relacionan con las características anteriormente descritas. Según Barrientos y Salinas (2013), en su investigación sobre las dinámicas de la VIF en Medellín, se evidencian diferencias significativas en la incidencia de episodios de violencia según el estrato social. Factores como el desempleo, el hacinamiento y el consumo de alcohol están correlacionados con un aumento en la probabilidad de que se produzcan actos de violencia, mientras que un mayor gasto en alimentación y bienestar se asocia con una disminución en esta probabilidad. </w:t>
      </w:r>
    </w:p>
    <w:p w:rsidR="71145355" w:rsidP="35B2FBC5" w:rsidRDefault="71145355" w14:paraId="22D9C966" w14:textId="6B18ED04">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Los autores subrayan que los hogares encabezados por hombres presentan un 3,2% más de probabilidades de reportar casos de violencia intrafamiliar en comparación con aquellos dirigidos por mujeres. </w:t>
      </w:r>
      <w:r w:rsidRPr="35B2FBC5" w:rsidR="5DA4F418">
        <w:rPr>
          <w:rFonts w:ascii="Arial" w:hAnsi="Arial" w:eastAsia="Arial" w:cs="Arial"/>
          <w:noProof w:val="0"/>
          <w:sz w:val="24"/>
          <w:szCs w:val="24"/>
          <w:lang w:val="es-CO"/>
        </w:rPr>
        <w:t>Además</w:t>
      </w:r>
      <w:r w:rsidRPr="35B2FBC5" w:rsidR="1ABBCF78">
        <w:rPr>
          <w:rFonts w:ascii="Arial" w:hAnsi="Arial" w:eastAsia="Arial" w:cs="Arial"/>
          <w:noProof w:val="0"/>
          <w:sz w:val="24"/>
          <w:szCs w:val="24"/>
          <w:lang w:val="es-CO"/>
        </w:rPr>
        <w:t>,</w:t>
      </w:r>
      <w:r w:rsidRPr="35B2FBC5" w:rsidR="1ABBCF78">
        <w:rPr>
          <w:rFonts w:ascii="Arial" w:hAnsi="Arial" w:eastAsia="Arial" w:cs="Arial"/>
          <w:noProof w:val="0"/>
          <w:sz w:val="24"/>
          <w:szCs w:val="24"/>
          <w:lang w:val="es-CO"/>
        </w:rPr>
        <w:t xml:space="preserve"> el hacinamiento se erige como un factor de riesgo significativo; un incremento de una persona por habitación aumenta la probabilidad de episodios de violencia en un 2%. También se relaciona de manera contundente el consumo excesivo de alcohol con la violencia: los hogares donde se consume alcohol hasta la ebriedad tienen un 6% más de probabilidades de experimentar episodios violentos. </w:t>
      </w:r>
    </w:p>
    <w:p w:rsidR="71145355" w:rsidP="35B2FBC5" w:rsidRDefault="71145355" w14:paraId="3207E1AD" w14:textId="5BF6EB92">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El estatus laboral del jefe de hogar es otro factor crucial. Los hogares con un jefe desempleado muestran un 6% más de probabilidad de enfrentar actos violentos. Por el contrario, aquellos en los que el jefe se encuentra inactivo presentan un 1,2% menos de probabilidad de violencia. Se ha observado que una mayor educación del jefe de hogar y un mayor gasto total del hogar están asociados con una reducción en la probabilidad de violencia. Curiosamente, los hogares en estado de matrimonio tienen un 5% más de probabilidad de presentar episodios violentos en comparación con aquellos en unión libre, mientras que los hogares en estratos socioeconómicos 5 y 6 exhiben un 8,2% menos de probabilidad de violencia en comparación con aquellos en estrato 1 (Barrientos y Salinas, 2013). </w:t>
      </w:r>
    </w:p>
    <w:p w:rsidR="71145355" w:rsidP="35B2FBC5" w:rsidRDefault="71145355" w14:paraId="1BE360E7" w14:textId="56E4874B">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El análisis revela que el 15% de los hogares en estrato 1 reportan consumo excesivo de alcohol, con un 7,2% que ha experimentado violencia intrafamiliar. En contraste, el 9% de los hogares en estrato 6 consume alcohol hasta la ebriedad, y de estos, el 6% ha sufrido episodios de violencia. Esto indica que es dos veces más probable encontrar casos de violencia en hogares de estrato 1 en relación con el consumo de alcohol (Barrientos y Salinas, 2013). Esta información se ve reforzada por las conclusiones del Programa Distrital de Justicia Juvenil Restaurativa (PDJJR).</w:t>
      </w:r>
    </w:p>
    <w:p w:rsidR="6489234B" w:rsidP="35B2FBC5" w:rsidRDefault="6489234B" w14:paraId="04251A3F" w14:textId="71888E75">
      <w:pPr>
        <w:spacing w:before="0" w:beforeAutospacing="off" w:after="0" w:afterAutospacing="off" w:line="480" w:lineRule="auto"/>
        <w:ind w:firstLine="709"/>
        <w:jc w:val="both"/>
        <w:rPr>
          <w:rFonts w:ascii="Arial" w:hAnsi="Arial" w:eastAsia="Arial" w:cs="Arial"/>
          <w:noProof w:val="0"/>
          <w:sz w:val="24"/>
          <w:szCs w:val="24"/>
          <w:lang w:val="es-CO"/>
        </w:rPr>
      </w:pPr>
      <w:r w:rsidRPr="2E7BCFCA" w:rsidR="6489234B">
        <w:rPr>
          <w:rFonts w:ascii="Arial" w:hAnsi="Arial" w:eastAsia="Arial" w:cs="Arial"/>
          <w:noProof w:val="0"/>
          <w:sz w:val="24"/>
          <w:szCs w:val="24"/>
          <w:lang w:val="es-CO"/>
        </w:rPr>
        <w:t>Para terminar con el apartado sobre el perfil de los agresores adolescentes y en relación con las cifras, que nos dicen que las madres son las principales víctimas de VIF cuando los agresores son adolescentes; consultamos el artículo de investigación de Garrido (2008) elaborado en Málaga, España que aborda el fenómeno de la violencia de los hijos hacia los padres. El texto sostiene que algunos adolescentes muestran conductas violentas hacia sus padres, especialmente hacia las madres, sin que se haya dado un maltrato o exposición a violencia en casa.</w:t>
      </w:r>
    </w:p>
    <w:p w:rsidR="0DB83912" w:rsidP="35B2FBC5" w:rsidRDefault="0DB83912" w14:paraId="226423AB" w14:textId="6EE81C4F">
      <w:pPr>
        <w:spacing w:before="0" w:beforeAutospacing="off" w:after="0" w:afterAutospacing="off" w:line="480" w:lineRule="auto"/>
        <w:ind w:firstLine="709"/>
        <w:jc w:val="both"/>
        <w:rPr>
          <w:rFonts w:ascii="Arial" w:hAnsi="Arial" w:eastAsia="Arial" w:cs="Arial"/>
          <w:noProof w:val="0"/>
          <w:sz w:val="24"/>
          <w:szCs w:val="24"/>
          <w:lang w:val="es-CO"/>
        </w:rPr>
      </w:pPr>
    </w:p>
    <w:p w:rsidR="44BEE814" w:rsidP="35B2FBC5" w:rsidRDefault="44BEE814" w14:paraId="39798209" w14:textId="134FE1AC">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33BC471A">
        <w:rPr>
          <w:rFonts w:ascii="Arial" w:hAnsi="Arial" w:eastAsia="Arial" w:cs="Arial"/>
          <w:noProof w:val="0"/>
          <w:sz w:val="24"/>
          <w:szCs w:val="24"/>
          <w:lang w:val="es-CO"/>
        </w:rPr>
        <w:t>Según el artículo de Garrido (2008), el "síndrome del emperador" es una condición psicológica en la que los adolescentes ejercen violencia hacia sus padres, especialmente hacia las madres, sin que existan antecedentes claros de maltrato o exposición previa a violencia en el hogar. Este síndrome se caracteriza por una conducta abusiva sostenida, basada en la falta de empatía, la ausencia de principios morales y una relación instrumental con las figuras de autoridad. A diferencia de otros trastornos, no se trata de impulsividad o desobediencia común, sino de un patrón de dominio y control que el adolescente ejerce sobre sus padres.</w:t>
      </w:r>
    </w:p>
    <w:p w:rsidR="235B8416" w:rsidP="35B2FBC5" w:rsidRDefault="235B8416" w14:paraId="75B47740" w14:textId="364C7EED">
      <w:pPr>
        <w:pStyle w:val="Normal"/>
        <w:spacing w:before="0" w:beforeAutospacing="off" w:after="0" w:afterAutospacing="off" w:line="480" w:lineRule="auto"/>
        <w:ind w:firstLine="709"/>
        <w:jc w:val="both"/>
        <w:rPr>
          <w:rFonts w:ascii="Arial" w:hAnsi="Arial" w:eastAsia="Arial" w:cs="Arial"/>
          <w:noProof w:val="0"/>
          <w:sz w:val="24"/>
          <w:szCs w:val="24"/>
          <w:lang w:val="es-CO"/>
        </w:rPr>
      </w:pPr>
      <w:r w:rsidRPr="35B2FBC5" w:rsidR="235B8416">
        <w:rPr>
          <w:rFonts w:ascii="Arial" w:hAnsi="Arial" w:eastAsia="Arial" w:cs="Arial"/>
          <w:noProof w:val="0"/>
          <w:sz w:val="24"/>
          <w:szCs w:val="24"/>
          <w:lang w:val="es-CO"/>
        </w:rPr>
        <w:t>Garrido señala que esta conducta está relacionada con la ausencia de límites durante la infancia, más que con factores estructurales o sociales. En su estudio realizado, se identificó que alrededor del 8% de los adolescentes agresores hacia sus padres no presentaban antecedentes familiares de violencia, lo que sugiere un deterioro personal en la construcción de vínculos afectivos saludables. La violencia en estos casos suele aparecer en la adolescencia y tiende a ser más severa, tanto en su frecuencia como en su impacto emocional sobre las víctimas (Garrido, 2018)</w:t>
      </w:r>
    </w:p>
    <w:p w:rsidR="35B2FBC5" w:rsidP="35B2FBC5" w:rsidRDefault="35B2FBC5" w14:paraId="72885784" w14:textId="27D876D6">
      <w:pPr>
        <w:spacing w:before="0" w:beforeAutospacing="off" w:after="0" w:afterAutospacing="off" w:line="480" w:lineRule="auto"/>
        <w:ind w:firstLine="709"/>
        <w:jc w:val="both"/>
        <w:rPr>
          <w:rFonts w:ascii="Arial" w:hAnsi="Arial" w:eastAsia="Arial" w:cs="Arial"/>
          <w:noProof w:val="0"/>
          <w:sz w:val="24"/>
          <w:szCs w:val="24"/>
          <w:lang w:val="es-CO"/>
        </w:rPr>
      </w:pPr>
    </w:p>
    <w:p w:rsidR="71145355" w:rsidP="35B2FBC5" w:rsidRDefault="71145355" w14:paraId="6F48DFD6" w14:textId="4968B1A5">
      <w:pPr>
        <w:pStyle w:val="Normal"/>
        <w:spacing w:before="0" w:beforeAutospacing="off" w:after="0" w:afterAutospacing="off" w:line="480" w:lineRule="auto"/>
        <w:ind w:left="1416" w:right="0" w:hanging="0"/>
        <w:jc w:val="both"/>
        <w:rPr>
          <w:rFonts w:ascii="Arial" w:hAnsi="Arial" w:eastAsia="Arial" w:cs="Arial"/>
          <w:b w:val="1"/>
          <w:bCs w:val="1"/>
          <w:noProof w:val="0"/>
          <w:sz w:val="24"/>
          <w:szCs w:val="24"/>
          <w:lang w:val="es-CO"/>
        </w:rPr>
      </w:pPr>
      <w:r w:rsidRPr="35B2FBC5" w:rsidR="1ABBCF78">
        <w:rPr>
          <w:rFonts w:ascii="Arial" w:hAnsi="Arial" w:eastAsia="Arial" w:cs="Arial"/>
          <w:b w:val="1"/>
          <w:bCs w:val="1"/>
          <w:noProof w:val="0"/>
          <w:sz w:val="24"/>
          <w:szCs w:val="24"/>
          <w:lang w:val="es-CO"/>
        </w:rPr>
        <w:t xml:space="preserve">Cifras </w:t>
      </w:r>
    </w:p>
    <w:p w:rsidR="71145355" w:rsidP="35B2FBC5" w:rsidRDefault="71145355" w14:paraId="3A08FF02" w14:textId="26F32856">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La violencia intrafamiliar (VIF) es un fenómeno complejo que afecta a diversos grupos poblacionales, incluyendo a adolescentes tanto como agresores como víctimas. Este análisis se centra en la evolución de los casos de VIF en Colombia, con un enfoque particular en la ciudad de Bogotá, utilizando datos del Sistema Penal Oral y Acusatorio (SPOA) proporcionados por la Fiscalía. </w:t>
      </w:r>
    </w:p>
    <w:p w:rsidR="71145355" w:rsidP="35B2FBC5" w:rsidRDefault="71145355" w14:paraId="5E1AC8D5" w14:textId="6D438F0E">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A nivel nacional, en el reporte dado por la Dirección de Políticas y Estrategia de la Fiscalía enviado el 27 de septiembre de 2024 en respuesta a una petición de información realizada desde el Programa de Justicia Restaurativa, se puede observar un incremento preocupante en los casos de VIF, que pasaron de 59,603 en 2018 a 89,525 en 2023, representando un aumento del 50%. Este crecimiento puede ser atribuido tanto a una mayor visibilidad de estos casos como a un incremento en su incidencia. En Bogotá, los casos también han aumentado de 16,324 en 2018 a 19,269 en 2023, aunque la proporción de casos de la capital respecto al total nacional se ha mantenido relativamente estable. </w:t>
      </w:r>
    </w:p>
    <w:p w:rsidR="71145355" w:rsidP="35B2FBC5" w:rsidRDefault="71145355" w14:paraId="7AAA7ED8" w14:textId="54C3094D">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Los datos revelan que la mayoría de los agresores adolescentes son hombres, con 1,165 casos reportados en 2023, en comparación con 260 casos de mujeres. Esta tendencia se refleja también en Bogotá, donde los hombres adolescentes fueron responsables de 242 agresiones en 2018, aunque esa cifra disminuyó a 142 en 2023, lo que representa una disminución del 41.5%. Las mujeres adolescentes, aunque menos frecuentes como agresoras, mostraron un cambio similar, pasando de 75 casos en 2018 a 53 en 2023, lo que equivale a una reducción del 29.3%. En términos generales, el total de agresores adolescentes en Bogotá cayó de 317 en 2018 a 195 en 2023, con una disminución del 38.6%.  </w:t>
      </w:r>
    </w:p>
    <w:p w:rsidR="71145355" w:rsidP="35B2FBC5" w:rsidRDefault="71145355" w14:paraId="313FE959" w14:textId="7F58ED3E">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La relación entre los agresores y las víctimas es especialmente alarmante, ya que las madres son las principales víctimas de violencia intrafamiliar perpetrada por adolescentes. En términos de casos, se reportaron 71 incidentes a nivel nacional en 2018, que aumentaron a 200 en 2023, un cambio alarmante del 182.9%. Asimismo, el número de casos de violencia entre hermanos también ha crecido, de 23 en 2018 a 44 en 2023, lo que representa un incremento del 91.3%. </w:t>
      </w:r>
    </w:p>
    <w:p w:rsidR="71145355" w:rsidP="35B2FBC5" w:rsidRDefault="71145355" w14:paraId="263EDA47" w14:textId="5909ABB3">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En Bogotá, la situación de los adolescentes como agresores presenta una variabilidad significativa. En 2018, se registraron 13 casos de agresión, cifra que aumentó a 21 en 2019, pero disminuyó en los años siguientes, con un ligero repunte en 2023 a 10 casos. Esta oscilación puede indicar cambios en las dinámicas familiares, producto del confinamiento por pandemia o en la disposición a denunciar estos comportamientos. Las víctimas adolescentes en Bogotá han mostrado tendencias similares. Aunque las madres se identifican como un grupo significativo de víctimas, el número de casos reportados ha disminuido de 18 en 2018 a 7 en 2023, lo que significa una caída del 61.1%. Los hijos también son un grupo notable, con 14 casos en 2018 que aumentaron a 21 en 2019, pero que luego cayeron a 4 en 2022 y repuntaron a 10 en 2023, reflejando una reducción del 28.6% en los casos reportados para este grupo en el mismo período. </w:t>
      </w:r>
    </w:p>
    <w:p w:rsidR="71145355" w:rsidP="35B2FBC5" w:rsidRDefault="71145355" w14:paraId="5FD32C9F" w14:textId="5A7C8B24">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El análisis de la violencia intrafamiliar ejercida por adolescentes en Colombia y Bogotá revela un fenómeno en crecimiento. La predominancia de hombres como agresores y el preocupante aumento de madres como víctimas destacan la necesidad de enfoques específicos en la intervención y prevención. </w:t>
      </w:r>
    </w:p>
    <w:p w:rsidR="71145355" w:rsidP="35B2FBC5" w:rsidRDefault="71145355" w14:paraId="61698954" w14:textId="2CA13FC1">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Por otra parte, las cifras aportadas por el Programa de Justicia Juvenil Restaurativa (PDJJR) indican que, desde su inicio a finales de 2016 hasta septiembre de 2024, el programa ha atendido un total de 17 casos relacionados con delitos de violencia intrafamiliar. De estos, 16 han sido hombres de entre 15 y 18 años, y uno ha sido una mujer de 16 años. Las localidades más afectadas han sido Kennedy y San Cristóbal, con cinco casos cada una, lo que sugiere una concentración geográfica de la problemática. En cuanto a las modalidades de sanción, la privación de la libertad se ha utilizado en cinco casos, mientras que la libertad asistida y la prestación de servicios a la comunidad se han aplicado en cuatro casos cada una, indicando un enfoque que busca equilibrar la sanción con la rehabilitación, priorizando alternativas a la privación de libertad donde sea posible. Además, en el marco del principio de oportunidad, se han gestionado 392 casos. De ellos, 270 corresponden a hombres de entre 14 y 27 años y 122 a mujeres de 15 a 26 años. Nuevamente, Kennedy se destaca como la localidad con mayor incidencia, registrando 64 casos, seguida de Bosa y Suba con 48 y 47, respectivamente. </w:t>
      </w:r>
    </w:p>
    <w:p w:rsidR="71145355" w:rsidP="35B2FBC5" w:rsidRDefault="71145355" w14:paraId="3BDA80D2" w14:textId="01944D2B">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Aunque las estadísticas reflejan una disminución en las denuncias, esto no implica necesariamente una reducción en los casos de violencia intrafamiliar (VIF). Según el artículo realizado en Bogotá de </w:t>
      </w:r>
      <w:r w:rsidRPr="35B2FBC5" w:rsidR="1ABBCF78">
        <w:rPr>
          <w:rFonts w:ascii="Arial" w:hAnsi="Arial" w:eastAsia="Arial" w:cs="Arial"/>
          <w:noProof w:val="0"/>
          <w:sz w:val="24"/>
          <w:szCs w:val="24"/>
          <w:lang w:val="es-CO"/>
        </w:rPr>
        <w:t>Lafaurie</w:t>
      </w:r>
      <w:r w:rsidRPr="35B2FBC5" w:rsidR="1ABBCF78">
        <w:rPr>
          <w:rFonts w:ascii="Arial" w:hAnsi="Arial" w:eastAsia="Arial" w:cs="Arial"/>
          <w:noProof w:val="0"/>
          <w:sz w:val="24"/>
          <w:szCs w:val="24"/>
          <w:lang w:val="es-CO"/>
        </w:rPr>
        <w:t xml:space="preserve"> (2015), un tema clave en el subregistro de las denuncias, está relacionado con la falta de sensibilización y capacitación en las instituciones encargadas de recibirlas, como las judiciales y de salud. Esto provoca que, en ocasiones, las víctimas no reciban el apoyo adecuado y, en lugar de encontrar protección, son revictimizadas. Otro aspecto relevante es la cultura patriarcal, que no solo perpetúa la violencia contra las mujeres, sino que también moldea las masculinidades, promoviendo actitudes agresivas y violentas tanto en las relaciones con las mujeres como entre los hombres. Esto se refleja en cómo se reproducen estos comportamientos de violencia de forma intergeneracional. </w:t>
      </w:r>
    </w:p>
    <w:p w:rsidR="71145355" w:rsidP="35B2FBC5" w:rsidRDefault="71145355" w14:paraId="561475AC" w14:textId="06216B06">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Pineda y Otero (2004) señalan cómo las mujeres, en Colombia, al acudir a las comisarías en busca de ayuda, se encuentran en una desventaja estructural frente al agresor. A pesar de que muchas de ellas enfrentan situaciones de violencia, no siempre logran una protección efectiva debido a las desigualdades de poder entre las partes involucradas. El modelo de conciliación utilizado en la resolución de conflictos, que se supone debe ser imparcial, en la práctica se ve afectado por estas desigualdades. </w:t>
      </w:r>
      <w:r w:rsidRPr="35B2FBC5" w:rsidR="1ABBCF78">
        <w:rPr>
          <w:rFonts w:ascii="Arial" w:hAnsi="Arial" w:eastAsia="Arial" w:cs="Arial"/>
          <w:noProof w:val="0"/>
          <w:sz w:val="24"/>
          <w:szCs w:val="24"/>
          <w:lang w:val="es-CO"/>
        </w:rPr>
        <w:t>La figura del conciliador a menudo no puede mantenerse neutral debido a que las partes están en situaciones de poder muy diferentes.</w:t>
      </w:r>
      <w:r w:rsidRPr="35B2FBC5" w:rsidR="1ABBCF78">
        <w:rPr>
          <w:rFonts w:ascii="Arial" w:hAnsi="Arial" w:eastAsia="Arial" w:cs="Arial"/>
          <w:noProof w:val="0"/>
          <w:sz w:val="24"/>
          <w:szCs w:val="24"/>
          <w:lang w:val="es-CO"/>
        </w:rPr>
        <w:t xml:space="preserve"> El agresor, que usualmente tiene el control en la relación, busca mantener su posición de poder, mientras que la víctima, por el contrario, está buscando justicia y una salida a la situación de violencia. Este desajuste en las dinámicas de poder dificulta que el proceso de conciliación sea justo. </w:t>
      </w:r>
    </w:p>
    <w:p w:rsidR="71145355" w:rsidP="35B2FBC5" w:rsidRDefault="71145355" w14:paraId="497C7360" w14:textId="2FAE8765">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Además, en muchos casos, cuando las víctimas buscan justicia, se les presiona para aceptar acuerdos que no garantizan una verdadera solución o protección, lo que contribuye a la baja efectividad de los acuerdos y al subregistro de las denuncias, ya que muchas mujeres se sienten obligadas a aceptar compromisos que no abordan adecuadamente la violencia sufrida.  </w:t>
      </w:r>
    </w:p>
    <w:p w:rsidR="71145355" w:rsidP="35B2FBC5" w:rsidRDefault="71145355" w14:paraId="100D50E0" w14:textId="12802D32">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Asimismo, el estudio anteriormente mencionado, subraya las limitaciones en la intervención estatal y en los mecanismos de protección, lo que afecta la decisión de las víctimas de denunciar o hacerlo de manera efectiva. En consecuencia, el subregistro podría estar vinculado tanto a la desconfianza en el sistema como a las dinámicas de poder y control que prevalecen en las relaciones violentas. En esta misma línea, Ruiz-Pérez y Pastor-Moreno (2021) advierten que después del confinamiento por pandemia han disminuido las denuncias, no solo en Bogotá como informan las cifras de la Fiscalía, sino también en España con un 40% menos de denuncias. Lo que los autores analizan como unas posibles barreras para la denuncia y no como una disminución de la VIF.   </w:t>
      </w:r>
    </w:p>
    <w:p w:rsidR="71145355" w:rsidP="35B2FBC5" w:rsidRDefault="71145355" w14:paraId="11FC197C" w14:textId="4ED22CE6">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Un factor común en la mayoría de la bibliografía consultada es la importancia de trabajar desde la prevención de la VIF, por su parte la autora </w:t>
      </w:r>
      <w:r w:rsidRPr="35B2FBC5" w:rsidR="1ABBCF78">
        <w:rPr>
          <w:rFonts w:ascii="Arial" w:hAnsi="Arial" w:eastAsia="Arial" w:cs="Arial"/>
          <w:noProof w:val="0"/>
          <w:sz w:val="24"/>
          <w:szCs w:val="24"/>
          <w:lang w:val="es-CO"/>
        </w:rPr>
        <w:t>Lafaurie</w:t>
      </w:r>
      <w:r w:rsidRPr="35B2FBC5" w:rsidR="1ABBCF78">
        <w:rPr>
          <w:rFonts w:ascii="Arial" w:hAnsi="Arial" w:eastAsia="Arial" w:cs="Arial"/>
          <w:noProof w:val="0"/>
          <w:sz w:val="24"/>
          <w:szCs w:val="24"/>
          <w:lang w:val="es-CO"/>
        </w:rPr>
        <w:t xml:space="preserve"> (2015) a través de su investigación en Bogotá, destaca la necesidad de generar acciones decididas desde diferentes instituciones para abordar la problemática de la violencia contra las mujeres y otros grupos vulnerables en el ámbito familiar. Para esto, la autora propone tres puntos claves en los programas de intervención: perspectiva de género, lo que implica reconocer las desigualdades de género que perpetúan la violencia; la implementación de procesos formativos en las instancias de salud y judiciales para que el personal pueda manejar adecuadamente los casos de violencia intrafamiliar; y el artículo menciona la necesidad de buscar nuevas estrategias para generar cambios en la cultura en torno a las relaciones de género, promoviendo la igualdad y la equidad entre mujeres y hombres.  </w:t>
      </w:r>
    </w:p>
    <w:p w:rsidR="71145355" w:rsidP="35B2FBC5" w:rsidRDefault="71145355" w14:paraId="54869FD6" w14:textId="1873F3F1">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Por su parte, Pineda y Otero (2004) y Ruiz-Pérez y Pastor-Moreno (2021) en sus investigaciones en Colombia, señalan que la prevención de la violencia intrafamiliar debe abordarse de manera integral, considerando factores como el aumento del desempleo, la inestabilidad laboral y la dependencia económica, ya que estos elementos contribuyen a la perpetuación de la violencia. Asimismo, destaca que la prevención efectiva de la violencia de género no es posible sin abordar las desigualdades de género y las relaciones de poder en el hogar, lo cual requiere un enfoque multidimensional que incluya la educación, la sensibilización y la promoción de la igualdad de género. </w:t>
      </w:r>
    </w:p>
    <w:p w:rsidR="71145355" w:rsidP="35B2FBC5" w:rsidRDefault="71145355" w14:paraId="03686EA2" w14:textId="614A9D4A">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Adicionalmente al subregistro, las barreras para la denuncia y la importancia de la prevención de VIF, es importante señalar los costos sociales y económicos que trae la VIF y que justifican la intervención de programas de atención y prevención. el estudio de la violencia intrafamiliar (VIF) desde una perspectiva económica es relativamente reciente y carece de un marco teórico consolidado. Aunque algunas investigaciones han analizado las reacciones de las víctimas y la transmisión intergeneracional de la violencia, persisten vacíos en la comprensión de sus determinantes y efectos económicos. Los autores señalan que los factores de riesgo como el consumo de alcohol y las dificultades económicas aumentan la probabilidad de maltrato, especialmente en hogares con bajos niveles educativos y mayores índices de pobreza. Además, estiman que los costos de la VIF en Colombia representan un porcentaje significativo del PIB, lo que refleja tanto pérdidas en productividad como gastos en salud. A pesar de estos hallazgos, aún falta una medición precisa de los costos y un análisis más profundo de sus impactos a largo plazo (Ribero y Sánchez, 2004). </w:t>
      </w:r>
    </w:p>
    <w:p w:rsidR="71145355" w:rsidP="35B2FBC5" w:rsidRDefault="71145355" w14:paraId="7CE61491" w14:textId="5ABFA3A1">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Ribero y Sánchez (2004) examinan los efectos de la violencia intrafamiliar (VIF) en Colombia, enfocándose en cómo esta influye en el bienestar de los hogares en términos de ingresos laborales, desempleo, salud y educación. Los resultados muestran que la VIF reduce significativamente los ingresos de las mujeres y aumenta su desempleo, particularmente en casos de violencia severa. Además, la violencia afecta negativamente la salud de los niños y las mujeres, así como el desempeño escolar de los menores, generando atrasos educativos. Estos impactos se traducen en costos económicos sustanciales, estimados en alrededor del 3.4% del PIB de 2003, debido principalmente a la reducción de ingresos laborales y el aumento del desempleo femenino. Para medir estos efectos, los autores emplearon una metodología no paramétrica de "</w:t>
      </w:r>
      <w:r w:rsidRPr="35B2FBC5" w:rsidR="1ABBCF78">
        <w:rPr>
          <w:rFonts w:ascii="Arial" w:hAnsi="Arial" w:eastAsia="Arial" w:cs="Arial"/>
          <w:noProof w:val="0"/>
          <w:sz w:val="24"/>
          <w:szCs w:val="24"/>
          <w:lang w:val="es-CO"/>
        </w:rPr>
        <w:t>matching</w:t>
      </w:r>
      <w:r w:rsidRPr="35B2FBC5" w:rsidR="1ABBCF78">
        <w:rPr>
          <w:rFonts w:ascii="Arial" w:hAnsi="Arial" w:eastAsia="Arial" w:cs="Arial"/>
          <w:noProof w:val="0"/>
          <w:sz w:val="24"/>
          <w:szCs w:val="24"/>
          <w:lang w:val="es-CO"/>
        </w:rPr>
        <w:t xml:space="preserve"> </w:t>
      </w:r>
      <w:r w:rsidRPr="35B2FBC5" w:rsidR="1ABBCF78">
        <w:rPr>
          <w:rFonts w:ascii="Arial" w:hAnsi="Arial" w:eastAsia="Arial" w:cs="Arial"/>
          <w:noProof w:val="0"/>
          <w:sz w:val="24"/>
          <w:szCs w:val="24"/>
          <w:lang w:val="es-CO"/>
        </w:rPr>
        <w:t>estimators</w:t>
      </w:r>
      <w:r w:rsidRPr="35B2FBC5" w:rsidR="1ABBCF78">
        <w:rPr>
          <w:rFonts w:ascii="Arial" w:hAnsi="Arial" w:eastAsia="Arial" w:cs="Arial"/>
          <w:noProof w:val="0"/>
          <w:sz w:val="24"/>
          <w:szCs w:val="24"/>
          <w:lang w:val="es-CO"/>
        </w:rPr>
        <w:t xml:space="preserve">", lo que permite comparar hogares con y sin violencia, controlando por variables como educación, riqueza y ubicación geográfica, y calcular así el impacto directo de la VIF sobre diferentes variables de bienestar. </w:t>
      </w:r>
    </w:p>
    <w:p w:rsidR="71145355" w:rsidP="35B2FBC5" w:rsidRDefault="71145355" w14:paraId="63FBD5DE" w14:textId="21B588A8">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Es así como, Vara-</w:t>
      </w:r>
      <w:r w:rsidRPr="35B2FBC5" w:rsidR="1ABBCF78">
        <w:rPr>
          <w:rFonts w:ascii="Arial" w:hAnsi="Arial" w:eastAsia="Arial" w:cs="Arial"/>
          <w:noProof w:val="0"/>
          <w:sz w:val="24"/>
          <w:szCs w:val="24"/>
          <w:lang w:val="es-CO"/>
        </w:rPr>
        <w:t>Horna</w:t>
      </w:r>
      <w:r w:rsidRPr="35B2FBC5" w:rsidR="1ABBCF78">
        <w:rPr>
          <w:rFonts w:ascii="Arial" w:hAnsi="Arial" w:eastAsia="Arial" w:cs="Arial"/>
          <w:noProof w:val="0"/>
          <w:sz w:val="24"/>
          <w:szCs w:val="24"/>
          <w:lang w:val="es-CO"/>
        </w:rPr>
        <w:t xml:space="preserve"> (2019) ha documentado los efectos negativos de la violencia contra las mujeres (VCM) en Perú, en el ámbito laboral, destacando un aumento en el ausentismo, retrasos, bajo rendimiento y una alta rotación de personal. Las victimas pierden en promedio 24 días laborales al año, una cifra inferior a los 33.9 días reportados en Estados Unidos. Se estima que la cifra contribuye a aproximadamente el 17% del ausentismo total en las organizaciones. En Perú, se calcula que las víctimas pierden entre 1,150 y 1,500 soles anuales en ingresos, con un mayor impacto en los hogares no pobres. Otro factor relevante es el "presentismo", es decir, trabajar sin estar en condiciones óptimas, lo cual genera un costo significativo para las empresas. Asimismo, la rotación de personal es notablemente más alta en empresas afectadas por esta violencia; por cada mujer reemplazada en estos entornos, siete lo son en empresas sin este problema. Esta dinámica implica una pérdida anual de 18 millones de dólares en costos de contratación y días improductivos, además de contribuir a que 71,374 mujeres despedidas permanezcan desempleadas. </w:t>
      </w:r>
    </w:p>
    <w:p w:rsidR="71145355" w:rsidP="35B2FBC5" w:rsidRDefault="71145355" w14:paraId="08A655F9" w14:textId="19E1FD27">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En relación con los costos para el Estado en Colombia, Ribero y Sánchez (2004) afirman que los costos asociados a la prevención, detección y atención de la violencia intrafamiliar abarcan los gastos que diversas entidades estatales incurrieron en el año 2002. En 2002, los proyectos vinculados a la violencia intrafamiliar sumaron aproximadamente 110 mil millones de pesos, representando un 12,2 % del gasto total del ICBF en inversiones durante ese año. El componente de prevención buscó generar un cambio en la percepción social sobre la violencia, mientras que la detección temprana se centró en programas de vigilancia en salud pública para identificar a personas o familias en riesgo. Por su parte, los componentes de atención y transformación institucional se orientaron a proporcionar asistencia integral tanto a víctimas como a agresores, así como a mejorar la capacidad de respuesta de las instituciones involucradas.  </w:t>
      </w:r>
    </w:p>
    <w:p w:rsidR="3500C6B1" w:rsidP="35B2FBC5" w:rsidRDefault="3500C6B1" w14:paraId="12F1CE04" w14:textId="7C10BE0C">
      <w:pPr>
        <w:spacing w:before="0" w:beforeAutospacing="off" w:after="0" w:afterAutospacing="off" w:line="480" w:lineRule="auto"/>
        <w:ind w:firstLine="708"/>
        <w:jc w:val="both"/>
        <w:rPr>
          <w:rFonts w:ascii="Arial" w:hAnsi="Arial" w:eastAsia="Arial" w:cs="Arial"/>
          <w:noProof w:val="0"/>
          <w:sz w:val="24"/>
          <w:szCs w:val="24"/>
          <w:lang w:val="es-CO"/>
        </w:rPr>
      </w:pPr>
      <w:r w:rsidRPr="2E7BCFCA" w:rsidR="3500C6B1">
        <w:rPr>
          <w:rFonts w:ascii="Arial" w:hAnsi="Arial" w:eastAsia="Arial" w:cs="Arial"/>
          <w:noProof w:val="0"/>
          <w:sz w:val="24"/>
          <w:szCs w:val="24"/>
          <w:lang w:val="es-CO"/>
        </w:rPr>
        <w:t xml:space="preserve">El Instituto Nacional de Medicina Legal y Ciencias Forenses (INML) también desempeñó un papel relevante, realizando 64,979 dictámenes de lesiones personales relacionados con denuncias de violencia intrafamiliar. Se estimó que los costos directos e indirectos asociados a esta problemática representaron más del 18% del presupuesto del INML, lo que equivale a cerca de 16.5 mil millones de pesos. Por otro lado, la </w:t>
      </w:r>
      <w:bookmarkStart w:name="_Int_Dwed79Ha" w:id="1367202286"/>
      <w:r w:rsidRPr="2E7BCFCA" w:rsidR="3500C6B1">
        <w:rPr>
          <w:rFonts w:ascii="Arial" w:hAnsi="Arial" w:eastAsia="Arial" w:cs="Arial"/>
          <w:noProof w:val="0"/>
          <w:sz w:val="24"/>
          <w:szCs w:val="24"/>
          <w:lang w:val="es-CO"/>
        </w:rPr>
        <w:t>Fiscalía General</w:t>
      </w:r>
      <w:bookmarkEnd w:id="1367202286"/>
      <w:r w:rsidRPr="2E7BCFCA" w:rsidR="3500C6B1">
        <w:rPr>
          <w:rFonts w:ascii="Arial" w:hAnsi="Arial" w:eastAsia="Arial" w:cs="Arial"/>
          <w:noProof w:val="0"/>
          <w:sz w:val="24"/>
          <w:szCs w:val="24"/>
          <w:lang w:val="es-CO"/>
        </w:rPr>
        <w:t xml:space="preserve"> de la Nación registró costos considerables vinculados a casos de violencia intrafamiliar, con un total de 86,231 casos reportados en 2002, lo que representó alrededor del 6% del presupuesto total de la entidad. Adicionalmente, la Secretaría de Gobierno de Bogotá destinó más de mil millones de pesos a estudios, capacitación y equipamiento de comisarías de familia, que actúan como autoridades de policía en estos casos. </w:t>
      </w:r>
      <w:r w:rsidRPr="2E7BCFCA" w:rsidR="3500C6B1">
        <w:rPr>
          <w:rFonts w:ascii="Arial" w:hAnsi="Arial" w:eastAsia="Arial" w:cs="Arial"/>
          <w:noProof w:val="0"/>
          <w:sz w:val="24"/>
          <w:szCs w:val="24"/>
          <w:lang w:val="es-CO"/>
        </w:rPr>
        <w:t>En conjunto, se estima que todos estos costos directos representaron aproximadamente el 0.6% del presupuesto total del gobierno nacional en 2002 (Ribero y Sánchez, 2004).</w:t>
      </w:r>
    </w:p>
    <w:p w:rsidR="2E7BCFCA" w:rsidP="2E7BCFCA" w:rsidRDefault="2E7BCFCA" w14:paraId="05EABF80" w14:textId="69C4BCC1">
      <w:pPr>
        <w:pStyle w:val="Normal"/>
        <w:spacing w:before="0" w:beforeAutospacing="off" w:after="0" w:afterAutospacing="off" w:line="480" w:lineRule="auto"/>
        <w:ind w:firstLine="0"/>
        <w:jc w:val="both"/>
        <w:rPr>
          <w:rFonts w:ascii="Arial" w:hAnsi="Arial" w:eastAsia="Arial" w:cs="Arial"/>
          <w:b w:val="1"/>
          <w:bCs w:val="1"/>
          <w:noProof w:val="0"/>
          <w:sz w:val="24"/>
          <w:szCs w:val="24"/>
          <w:lang w:val="pt-BR"/>
        </w:rPr>
      </w:pPr>
    </w:p>
    <w:p w:rsidR="71145355" w:rsidP="2E7BCFCA" w:rsidRDefault="71145355" w14:paraId="0AD389A2" w14:textId="0929C39C">
      <w:pPr>
        <w:pStyle w:val="Normal"/>
        <w:spacing w:before="0" w:beforeAutospacing="off" w:after="0" w:afterAutospacing="off" w:line="480" w:lineRule="auto"/>
        <w:ind w:firstLine="0"/>
        <w:jc w:val="both"/>
        <w:rPr>
          <w:rFonts w:ascii="Arial" w:hAnsi="Arial" w:eastAsia="Arial" w:cs="Arial"/>
          <w:noProof w:val="0"/>
          <w:sz w:val="24"/>
          <w:szCs w:val="24"/>
          <w:lang w:val="es-CO"/>
        </w:rPr>
      </w:pPr>
      <w:r w:rsidRPr="2E7BCFCA" w:rsidR="228116DF">
        <w:rPr>
          <w:rFonts w:ascii="Arial" w:hAnsi="Arial" w:eastAsia="Arial" w:cs="Arial"/>
          <w:b w:val="1"/>
          <w:bCs w:val="1"/>
          <w:noProof w:val="0"/>
          <w:sz w:val="24"/>
          <w:szCs w:val="24"/>
          <w:lang w:val="pt-BR"/>
        </w:rPr>
        <w:t>Factores</w:t>
      </w:r>
      <w:r w:rsidRPr="2E7BCFCA" w:rsidR="228116DF">
        <w:rPr>
          <w:rFonts w:ascii="Arial" w:hAnsi="Arial" w:eastAsia="Arial" w:cs="Arial"/>
          <w:b w:val="1"/>
          <w:bCs w:val="1"/>
          <w:noProof w:val="0"/>
          <w:sz w:val="24"/>
          <w:szCs w:val="24"/>
          <w:lang w:val="pt-BR"/>
        </w:rPr>
        <w:t xml:space="preserve"> que </w:t>
      </w:r>
      <w:r w:rsidRPr="2E7BCFCA" w:rsidR="228116DF">
        <w:rPr>
          <w:rFonts w:ascii="Arial" w:hAnsi="Arial" w:eastAsia="Arial" w:cs="Arial"/>
          <w:b w:val="1"/>
          <w:bCs w:val="1"/>
          <w:noProof w:val="0"/>
          <w:sz w:val="24"/>
          <w:szCs w:val="24"/>
          <w:lang w:val="pt-BR"/>
        </w:rPr>
        <w:t>contri</w:t>
      </w:r>
      <w:r w:rsidRPr="2E7BCFCA" w:rsidR="228116DF">
        <w:rPr>
          <w:rFonts w:ascii="Arial" w:hAnsi="Arial" w:eastAsia="Arial" w:cs="Arial"/>
          <w:b w:val="1"/>
          <w:bCs w:val="1"/>
          <w:noProof w:val="0"/>
          <w:sz w:val="24"/>
          <w:szCs w:val="24"/>
          <w:lang w:val="pt-BR"/>
        </w:rPr>
        <w:t>bu</w:t>
      </w:r>
      <w:r w:rsidRPr="2E7BCFCA" w:rsidR="228116DF">
        <w:rPr>
          <w:rFonts w:ascii="Arial" w:hAnsi="Arial" w:eastAsia="Arial" w:cs="Arial"/>
          <w:b w:val="1"/>
          <w:bCs w:val="1"/>
          <w:noProof w:val="0"/>
          <w:sz w:val="24"/>
          <w:szCs w:val="24"/>
          <w:lang w:val="pt-BR"/>
        </w:rPr>
        <w:t>yen</w:t>
      </w:r>
      <w:r w:rsidRPr="2E7BCFCA" w:rsidR="228116DF">
        <w:rPr>
          <w:rFonts w:ascii="Arial" w:hAnsi="Arial" w:eastAsia="Arial" w:cs="Arial"/>
          <w:b w:val="1"/>
          <w:bCs w:val="1"/>
          <w:noProof w:val="0"/>
          <w:sz w:val="24"/>
          <w:szCs w:val="24"/>
          <w:lang w:val="pt-BR"/>
        </w:rPr>
        <w:t xml:space="preserve"> a </w:t>
      </w:r>
      <w:r w:rsidRPr="2E7BCFCA" w:rsidR="228116DF">
        <w:rPr>
          <w:rFonts w:ascii="Arial" w:hAnsi="Arial" w:eastAsia="Arial" w:cs="Arial"/>
          <w:b w:val="1"/>
          <w:bCs w:val="1"/>
          <w:noProof w:val="0"/>
          <w:sz w:val="24"/>
          <w:szCs w:val="24"/>
          <w:lang w:val="pt-BR"/>
        </w:rPr>
        <w:t>la</w:t>
      </w:r>
      <w:r w:rsidRPr="2E7BCFCA" w:rsidR="228116DF">
        <w:rPr>
          <w:rFonts w:ascii="Arial" w:hAnsi="Arial" w:eastAsia="Arial" w:cs="Arial"/>
          <w:b w:val="1"/>
          <w:bCs w:val="1"/>
          <w:noProof w:val="0"/>
          <w:sz w:val="24"/>
          <w:szCs w:val="24"/>
          <w:lang w:val="pt-BR"/>
        </w:rPr>
        <w:t xml:space="preserve"> </w:t>
      </w:r>
      <w:r w:rsidRPr="2E7BCFCA" w:rsidR="228116DF">
        <w:rPr>
          <w:rFonts w:ascii="Arial" w:hAnsi="Arial" w:eastAsia="Arial" w:cs="Arial"/>
          <w:b w:val="1"/>
          <w:bCs w:val="1"/>
          <w:noProof w:val="0"/>
          <w:sz w:val="24"/>
          <w:szCs w:val="24"/>
          <w:lang w:val="pt-BR"/>
        </w:rPr>
        <w:t>aparición</w:t>
      </w:r>
      <w:r w:rsidRPr="2E7BCFCA" w:rsidR="228116DF">
        <w:rPr>
          <w:rFonts w:ascii="Arial" w:hAnsi="Arial" w:eastAsia="Arial" w:cs="Arial"/>
          <w:b w:val="1"/>
          <w:bCs w:val="1"/>
          <w:noProof w:val="0"/>
          <w:sz w:val="24"/>
          <w:szCs w:val="24"/>
          <w:lang w:val="pt-BR"/>
        </w:rPr>
        <w:t xml:space="preserve"> de </w:t>
      </w:r>
      <w:r w:rsidRPr="2E7BCFCA" w:rsidR="228116DF">
        <w:rPr>
          <w:rFonts w:ascii="Arial" w:hAnsi="Arial" w:eastAsia="Arial" w:cs="Arial"/>
          <w:b w:val="1"/>
          <w:bCs w:val="1"/>
          <w:noProof w:val="0"/>
          <w:sz w:val="24"/>
          <w:szCs w:val="24"/>
          <w:lang w:val="pt-BR"/>
        </w:rPr>
        <w:t>la</w:t>
      </w:r>
      <w:r w:rsidRPr="2E7BCFCA" w:rsidR="228116DF">
        <w:rPr>
          <w:rFonts w:ascii="Arial" w:hAnsi="Arial" w:eastAsia="Arial" w:cs="Arial"/>
          <w:b w:val="1"/>
          <w:bCs w:val="1"/>
          <w:noProof w:val="0"/>
          <w:sz w:val="24"/>
          <w:szCs w:val="24"/>
          <w:lang w:val="pt-BR"/>
        </w:rPr>
        <w:t xml:space="preserve"> VIF </w:t>
      </w:r>
      <w:r w:rsidRPr="2E7BCFCA" w:rsidR="1ABBCF78">
        <w:rPr>
          <w:rFonts w:ascii="Arial" w:hAnsi="Arial" w:eastAsia="Arial" w:cs="Arial"/>
          <w:noProof w:val="0"/>
          <w:sz w:val="24"/>
          <w:szCs w:val="24"/>
          <w:lang w:val="pt-BR"/>
        </w:rPr>
        <w:t xml:space="preserve"> </w:t>
      </w:r>
    </w:p>
    <w:p w:rsidR="71145355" w:rsidP="35B2FBC5" w:rsidRDefault="71145355" w14:paraId="2923EDB6" w14:textId="75593869">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En el marco del Programa Distrital de Justicia Juvenil Restaurativa (PDJJR), se han identificado diversos factores de riesgo que afectan tanto a los adolescentes que ejercen como ofensores como a aquellos que son víctimas de violencia intrafamiliar (VIF), cabe resaltar que estos hallazgos compaginan por lo descrito por la literatura. Los ofensores a menudo tienen antecedentes de haber sido víctimas de VIF, y muestran dificultades en la gestión emocional, la resolución de conflictos y la toma de decisiones. Estos jóvenes suelen haber experimentado abuso emocional y físico, abandono, y crecido en entornos familiares con normas confusas y roles desdibujados, lo que contribuye a la normalización de comportamientos violentos. Además, enfrentan problemas como el consumo de sustancias psicoactivas (SPA), deserción escolar, aislamiento social y dificultades en la comunicación. A menudo carecen de redes de apoyo efectivas y presentan problemas de salud mental no tratados, lo que agrava su situación. </w:t>
      </w:r>
    </w:p>
    <w:p w:rsidR="71145355" w:rsidP="35B2FBC5" w:rsidRDefault="71145355" w14:paraId="5E589C8A" w14:textId="5A799344">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Las víctimas de VIF, por su parte, también enfrentan un conjunto significativo de factores de riesgo.</w:t>
      </w:r>
      <w:r w:rsidRPr="35B2FBC5" w:rsidR="1ABBCF78">
        <w:rPr>
          <w:rFonts w:ascii="Arial" w:hAnsi="Arial" w:eastAsia="Arial" w:cs="Arial"/>
          <w:noProof w:val="0"/>
          <w:sz w:val="24"/>
          <w:szCs w:val="24"/>
          <w:lang w:val="es-CO"/>
        </w:rPr>
        <w:t xml:space="preserve"> En muchos casos, la violencia se ha transmitido generacionalmente, y estos adolescentes han crecido en entornos donde las conductas violentas son vistas como normales. Esto incluye baja capacidad para establecer límites, una comunicación ineficaz sobre necesidades emocionales, dependencia afectiva y confusión en los roles familiares. Factores externos como problemas económicos y falta de estabilidad laboral agravan la situación. Las víctimas suelen experimentar ansiedad, miedo y baja autoestima, además de aislamiento social, lo que les dificulta buscar apoyo. Esta dinámica se complica por la repetición de patrones agresivos y la falta de comprensión sobre los diferentes tipos de violencia. </w:t>
      </w:r>
    </w:p>
    <w:p w:rsidR="71145355" w:rsidP="35B2FBC5" w:rsidRDefault="71145355" w14:paraId="05969DA8" w14:textId="468B4A51">
      <w:pPr>
        <w:pStyle w:val="Normal"/>
        <w:spacing w:before="0" w:beforeAutospacing="off" w:after="0" w:afterAutospacing="off" w:line="480" w:lineRule="auto"/>
        <w:ind w:firstLine="709"/>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Lo anterior, y en concordancia con Peck et al. (2021) nos permite resaltar también, que hay factores de riesgo en VIF asociados a la exposición de comportamientos violentos en el sistema familiar, especialmente, la violencia entre padres, ser víctima de violencia en la familia, haber sufrido agresión física, agresión sexual o maltrato por parte de un adulto, y que el comportamiento violento es frecuente en hogares de padres separados con inadecuada gestión emocional y de situaciones complejas. Algunos estudios han concluido, también, que una parte los adolescentes que ejercen VIF están involucrados en otros delitos de violencia escolar y social (Purcell et al., 2014), lo que significa que los factores y procesos involucrados son similares a los que están presentes en la violencia juvenil en general. </w:t>
      </w:r>
    </w:p>
    <w:p w:rsidR="3D4B8C58" w:rsidP="35B2FBC5" w:rsidRDefault="3D4B8C58" w14:paraId="24958F73" w14:textId="6C764F0D">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3D4B8C58">
        <w:rPr>
          <w:rFonts w:ascii="Arial" w:hAnsi="Arial" w:eastAsia="Arial" w:cs="Arial"/>
          <w:noProof w:val="0"/>
          <w:sz w:val="24"/>
          <w:szCs w:val="24"/>
          <w:lang w:val="es-CO"/>
        </w:rPr>
        <w:t xml:space="preserve">Por ejemplo, el comportamiento  de VIF se asocia a una baja capacidad de empatía, alta impulsividad, baja tolerancia a la frustración, irritabilidad e inadecuada gestión y expresión emocional, sintomatología depresiva, estrés percibido, sentimientos de soledad, auto concepto negativo, baja capacidad de introspección, bajo nivel de satisfacción con la vida, </w:t>
      </w:r>
      <w:r w:rsidRPr="35B2FBC5" w:rsidR="3D4B8C58">
        <w:rPr>
          <w:rFonts w:ascii="Arial" w:hAnsi="Arial" w:eastAsia="Arial" w:cs="Arial"/>
          <w:noProof w:val="0"/>
          <w:sz w:val="24"/>
          <w:szCs w:val="24"/>
          <w:lang w:val="es-CO"/>
        </w:rPr>
        <w:t>hiperfocalización</w:t>
      </w:r>
      <w:r w:rsidRPr="35B2FBC5" w:rsidR="3D4B8C58">
        <w:rPr>
          <w:rFonts w:ascii="Arial" w:hAnsi="Arial" w:eastAsia="Arial" w:cs="Arial"/>
          <w:noProof w:val="0"/>
          <w:sz w:val="24"/>
          <w:szCs w:val="24"/>
          <w:lang w:val="es-CO"/>
        </w:rPr>
        <w:t xml:space="preserve"> hacia la satisfacción de metas egocéntricas, una marcada tendencia de personalidad narcisista y egocéntrica, dificultades en la identificación de sentimientos de culpa y remordimiento, e infravaloración de la autoridad y las normas (</w:t>
      </w:r>
      <w:r w:rsidRPr="35B2FBC5" w:rsidR="3D4B8C58">
        <w:rPr>
          <w:rFonts w:ascii="Arial" w:hAnsi="Arial" w:eastAsia="Arial" w:cs="Arial"/>
          <w:noProof w:val="0"/>
          <w:sz w:val="24"/>
          <w:szCs w:val="24"/>
          <w:lang w:val="es-CO"/>
        </w:rPr>
        <w:t>Cottrell</w:t>
      </w:r>
      <w:r w:rsidRPr="35B2FBC5" w:rsidR="3D4B8C58">
        <w:rPr>
          <w:rFonts w:ascii="Arial" w:hAnsi="Arial" w:eastAsia="Arial" w:cs="Arial"/>
          <w:noProof w:val="0"/>
          <w:sz w:val="24"/>
          <w:szCs w:val="24"/>
          <w:lang w:val="es-CO"/>
        </w:rPr>
        <w:t xml:space="preserve"> y </w:t>
      </w:r>
      <w:r w:rsidRPr="35B2FBC5" w:rsidR="3D4B8C58">
        <w:rPr>
          <w:rFonts w:ascii="Arial" w:hAnsi="Arial" w:eastAsia="Arial" w:cs="Arial"/>
          <w:noProof w:val="0"/>
          <w:sz w:val="24"/>
          <w:szCs w:val="24"/>
          <w:lang w:val="es-CO"/>
        </w:rPr>
        <w:t>Monk</w:t>
      </w:r>
      <w:r w:rsidRPr="35B2FBC5" w:rsidR="3D4B8C58">
        <w:rPr>
          <w:rFonts w:ascii="Arial" w:hAnsi="Arial" w:eastAsia="Arial" w:cs="Arial"/>
          <w:noProof w:val="0"/>
          <w:sz w:val="24"/>
          <w:szCs w:val="24"/>
          <w:lang w:val="es-CO"/>
        </w:rPr>
        <w:t>, 2004; Garrido, 2007). Adicionalmente, desde la experiencia del equipo del PDJJR, en la intervención se identifican posturas machistas desde la construcción cultural. De ahí que los temas de genero sean pilares a abordar en los casos de VIF.</w:t>
      </w:r>
    </w:p>
    <w:p w:rsidR="71145355" w:rsidP="35B2FBC5" w:rsidRDefault="71145355" w14:paraId="5B1368F6" w14:textId="30CD8EBA">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Otros factores comunes, que tienen una influencia determinante en los casos de VIF se asocian con el inadecuado estilo educativo en la crianza, la falta de cohesión afectiva, la disciplina inconsistente y dura, la ausencia de supervisión y acompañamiento y la asignación de responsabilidades en edades tempranas (Cuervo y </w:t>
      </w:r>
      <w:r w:rsidRPr="35B2FBC5" w:rsidR="1ABBCF78">
        <w:rPr>
          <w:rFonts w:ascii="Arial" w:hAnsi="Arial" w:eastAsia="Arial" w:cs="Arial"/>
          <w:noProof w:val="0"/>
          <w:sz w:val="24"/>
          <w:szCs w:val="24"/>
          <w:lang w:val="es-CO"/>
        </w:rPr>
        <w:t>Rechea</w:t>
      </w:r>
      <w:r w:rsidRPr="35B2FBC5" w:rsidR="1ABBCF78">
        <w:rPr>
          <w:rFonts w:ascii="Arial" w:hAnsi="Arial" w:eastAsia="Arial" w:cs="Arial"/>
          <w:noProof w:val="0"/>
          <w:sz w:val="24"/>
          <w:szCs w:val="24"/>
          <w:lang w:val="es-CO"/>
        </w:rPr>
        <w:t>, 2010). Finalmente, el uso de drogas y alcohol contribuye al comportamiento violento (Pagani et al., 2004; Freeman, 2018).</w:t>
      </w:r>
    </w:p>
    <w:p w:rsidR="71145355" w:rsidP="35B2FBC5" w:rsidRDefault="71145355" w14:paraId="4575A2C7" w14:textId="178E5A38">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En el análisis previo se destacaron los factores de riesgo a nivel individual en personas que ingresan al Programa Distrital de Justicia Juvenil Restaurativa, ya sea como víctimas u ofensores. Sin embargo, es crucial también subrayar los factores de riesgo relacionales en las dinámicas de </w:t>
      </w:r>
      <w:r w:rsidRPr="35B2FBC5" w:rsidR="1ABBCF78">
        <w:rPr>
          <w:rFonts w:ascii="Arial" w:hAnsi="Arial" w:eastAsia="Arial" w:cs="Arial"/>
          <w:noProof w:val="0"/>
          <w:sz w:val="24"/>
          <w:szCs w:val="24"/>
          <w:lang w:val="es-CO"/>
        </w:rPr>
        <w:t>VIF</w:t>
      </w:r>
      <w:r w:rsidRPr="35B2FBC5" w:rsidR="1ABBCF78">
        <w:rPr>
          <w:rFonts w:ascii="Arial" w:hAnsi="Arial" w:eastAsia="Arial" w:cs="Arial"/>
          <w:noProof w:val="0"/>
          <w:sz w:val="24"/>
          <w:szCs w:val="24"/>
          <w:lang w:val="es-CO"/>
        </w:rPr>
        <w:t xml:space="preserve"> identificados por el equipo de atención del programa. Estas familias, en su mayoría monoparentales o reconstituidas, suelen estar lideradas por una jefatura femenina, con una figura paterna ausente. En muchos casos, el adolescente ofensor convive con hermanos y una figura </w:t>
      </w:r>
      <w:r w:rsidRPr="35B2FBC5" w:rsidR="1ABBCF78">
        <w:rPr>
          <w:rFonts w:ascii="Arial" w:hAnsi="Arial" w:eastAsia="Arial" w:cs="Arial"/>
          <w:noProof w:val="0"/>
          <w:sz w:val="24"/>
          <w:szCs w:val="24"/>
          <w:lang w:val="es-CO"/>
        </w:rPr>
        <w:t>padrastral</w:t>
      </w:r>
      <w:r w:rsidRPr="35B2FBC5" w:rsidR="1ABBCF78">
        <w:rPr>
          <w:rFonts w:ascii="Arial" w:hAnsi="Arial" w:eastAsia="Arial" w:cs="Arial"/>
          <w:noProof w:val="0"/>
          <w:sz w:val="24"/>
          <w:szCs w:val="24"/>
          <w:lang w:val="es-CO"/>
        </w:rPr>
        <w:t xml:space="preserve"> con vínculos débiles.  </w:t>
      </w:r>
    </w:p>
    <w:p w:rsidR="71145355" w:rsidP="35B2FBC5" w:rsidRDefault="71145355" w14:paraId="1024ADC8" w14:textId="09F0462A">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Entre los factores de riesgo a nivel relacional se destacan la inadecuada gestión de conflictos, polarización interna en las familias, relaciones conflictivas y heridas intergeneracionales no sanadas. Además, hay una falta de redes de apoyo, dificultades en la comunicación, normalización de conductas violentas dentro del hogar, rupturas o debilitamiento de vínculos afectivos, y la persistencia de concepciones tradicionales de la familia asociadas a estereotipos de género y roles asignados. También se observa la ausencia de espacios compartidos en el ámbito familiar, lo que agrava la situación.</w:t>
      </w:r>
    </w:p>
    <w:p w:rsidR="71145355" w:rsidP="35B2FBC5" w:rsidRDefault="71145355" w14:paraId="13DD0E08" w14:textId="77054D81">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Estas características evidenciadas desde el PDJJR en casos de VIF se relacionan con la postura de Campbell et al. (2020) y Armstrong et al. (2018) en tanto que mencionan que es necesaria la vinculación de todos los miembros de la familia (redes de apoyo, víctimas y ofensores) para lograr intervenciones efectivas ya que todos son parte activa de cómo se configuran las relaciones familiares y se resuelven los conflictos.</w:t>
      </w:r>
    </w:p>
    <w:p w:rsidR="4566E665" w:rsidP="6F35DEAE" w:rsidRDefault="4566E665" w14:paraId="06B02CA8" w14:textId="120EF4F0">
      <w:pPr>
        <w:spacing w:before="0" w:beforeAutospacing="off" w:after="0" w:afterAutospacing="off" w:line="480" w:lineRule="auto"/>
        <w:ind w:firstLine="709"/>
        <w:jc w:val="both"/>
        <w:rPr>
          <w:rFonts w:ascii="Arial" w:hAnsi="Arial" w:eastAsia="Arial" w:cs="Arial"/>
          <w:b w:val="1"/>
          <w:bCs w:val="1"/>
          <w:noProof w:val="0"/>
          <w:sz w:val="24"/>
          <w:szCs w:val="24"/>
          <w:lang w:val="es-CO"/>
        </w:rPr>
      </w:pPr>
      <w:r w:rsidRPr="6F35DEAE" w:rsidR="0B773871">
        <w:rPr>
          <w:rFonts w:ascii="Arial" w:hAnsi="Arial" w:eastAsia="Arial" w:cs="Arial"/>
          <w:b w:val="1"/>
          <w:bCs w:val="1"/>
          <w:noProof w:val="0"/>
          <w:sz w:val="24"/>
          <w:szCs w:val="24"/>
          <w:lang w:val="es-CO"/>
        </w:rPr>
        <w:t>Modelos explicativos de VIF</w:t>
      </w:r>
    </w:p>
    <w:p w:rsidR="6F35DEAE" w:rsidP="6F35DEAE" w:rsidRDefault="6F35DEAE" w14:paraId="4EF890A9" w14:textId="4BD7B679">
      <w:pPr>
        <w:spacing w:before="0" w:beforeAutospacing="off" w:after="0" w:afterAutospacing="off" w:line="480" w:lineRule="auto"/>
        <w:ind w:firstLine="709"/>
        <w:jc w:val="both"/>
        <w:rPr>
          <w:rFonts w:ascii="Arial" w:hAnsi="Arial" w:eastAsia="Arial" w:cs="Arial"/>
          <w:noProof w:val="0"/>
          <w:sz w:val="24"/>
          <w:szCs w:val="24"/>
          <w:lang w:val="es-CO"/>
        </w:rPr>
      </w:pPr>
    </w:p>
    <w:p w:rsidR="0B773871" w:rsidP="6F35DEAE" w:rsidRDefault="0B773871" w14:paraId="20CB5763" w14:textId="5AD557E9">
      <w:pPr>
        <w:spacing w:before="0" w:beforeAutospacing="off" w:after="0" w:afterAutospacing="off" w:line="480" w:lineRule="auto"/>
        <w:ind w:firstLine="709"/>
        <w:jc w:val="both"/>
        <w:rPr>
          <w:rFonts w:ascii="Arial" w:hAnsi="Arial" w:eastAsia="Arial" w:cs="Arial"/>
          <w:noProof w:val="0"/>
          <w:sz w:val="24"/>
          <w:szCs w:val="24"/>
          <w:lang w:val="es-CO"/>
        </w:rPr>
      </w:pPr>
      <w:r w:rsidRPr="6F35DEAE" w:rsidR="0B773871">
        <w:rPr>
          <w:rFonts w:ascii="Arial" w:hAnsi="Arial" w:eastAsia="Arial" w:cs="Arial"/>
          <w:noProof w:val="0"/>
          <w:sz w:val="24"/>
          <w:szCs w:val="24"/>
          <w:lang w:val="es-CO"/>
        </w:rPr>
        <w:t xml:space="preserve">Para comprender y abordar eficazmente la violencia filio-parental, es necesario revisar diversos modelos explicativos. </w:t>
      </w:r>
      <w:r w:rsidRPr="6F35DEAE" w:rsidR="772AC918">
        <w:rPr>
          <w:rFonts w:ascii="Arial" w:hAnsi="Arial" w:eastAsia="Arial" w:cs="Arial"/>
          <w:noProof w:val="0"/>
          <w:sz w:val="24"/>
          <w:szCs w:val="24"/>
          <w:lang w:val="es-CO"/>
        </w:rPr>
        <w:t>De acuerdo con González (</w:t>
      </w:r>
      <w:r w:rsidRPr="6F35DEAE" w:rsidR="772AC918">
        <w:rPr>
          <w:rFonts w:ascii="Arial" w:hAnsi="Arial" w:eastAsia="Arial" w:cs="Arial"/>
          <w:noProof w:val="0"/>
          <w:sz w:val="24"/>
          <w:szCs w:val="24"/>
          <w:lang w:val="es-CO"/>
        </w:rPr>
        <w:t>2012)</w:t>
      </w:r>
      <w:r w:rsidRPr="6F35DEAE" w:rsidR="39BB11E9">
        <w:rPr>
          <w:rFonts w:ascii="Arial" w:hAnsi="Arial" w:eastAsia="Arial" w:cs="Arial"/>
          <w:noProof w:val="0"/>
          <w:sz w:val="24"/>
          <w:szCs w:val="24"/>
          <w:lang w:val="es-CO"/>
        </w:rPr>
        <w:t xml:space="preserve"> e</w:t>
      </w:r>
      <w:r w:rsidRPr="6F35DEAE" w:rsidR="0B773871">
        <w:rPr>
          <w:rFonts w:ascii="Arial" w:hAnsi="Arial" w:eastAsia="Arial" w:cs="Arial"/>
          <w:noProof w:val="0"/>
          <w:sz w:val="24"/>
          <w:szCs w:val="24"/>
          <w:lang w:val="es-CO"/>
        </w:rPr>
        <w:t>n primer lugar, la Teoría del Aprendizaje Social de Bandura plantea que la violencia se aprende principalmente a través de la observación e imitación de modelos familiares o sociales, siendo clave procesos como la atención, retención, reproducción motora y motivación. Este modelo también introduce conceptos como la autoeficacia y la desvinculación moral, los cuales permiten entender cómo las personas justifican y mantienen conductas violentas incluso sin experiencia directa.</w:t>
      </w:r>
    </w:p>
    <w:p w:rsidR="0B773871" w:rsidP="6F35DEAE" w:rsidRDefault="0B773871" w14:paraId="0CD22D40" w14:textId="39E0E9AC">
      <w:pPr>
        <w:pStyle w:val="Normal"/>
        <w:spacing w:before="0" w:beforeAutospacing="off" w:after="0" w:afterAutospacing="off" w:line="480" w:lineRule="auto"/>
        <w:ind w:firstLine="709"/>
        <w:jc w:val="both"/>
      </w:pPr>
      <w:r w:rsidRPr="6F35DEAE" w:rsidR="0B773871">
        <w:rPr>
          <w:rFonts w:ascii="Arial" w:hAnsi="Arial" w:eastAsia="Arial" w:cs="Arial"/>
          <w:noProof w:val="0"/>
          <w:sz w:val="24"/>
          <w:szCs w:val="24"/>
          <w:lang w:val="es-CO"/>
        </w:rPr>
        <w:t>El Modelo de Coerción de Patterson se centra en las interacciones familiares negativas. Describe una secuencia donde prácticas parentales inadecuadas generan problemas de conducta que escalan hacia la vinculación con pares antisociales y la delincuencia. El rechazo parental y social, junto con una baja autoestima, agravan este proceso. Factores como el bajo nivel educativo, conflictos familiares y prácticas disciplinarias erráticas son señalados como elementos de riesgo.</w:t>
      </w:r>
    </w:p>
    <w:p w:rsidR="0B773871" w:rsidP="6F35DEAE" w:rsidRDefault="0B773871" w14:paraId="303532B4" w14:textId="4D02C716">
      <w:pPr>
        <w:pStyle w:val="Normal"/>
        <w:spacing w:before="0" w:beforeAutospacing="off" w:after="0" w:afterAutospacing="off" w:line="480" w:lineRule="auto"/>
        <w:ind w:firstLine="709"/>
        <w:jc w:val="both"/>
      </w:pPr>
      <w:r w:rsidRPr="6F35DEAE" w:rsidR="0B773871">
        <w:rPr>
          <w:rFonts w:ascii="Arial" w:hAnsi="Arial" w:eastAsia="Arial" w:cs="Arial"/>
          <w:noProof w:val="0"/>
          <w:sz w:val="24"/>
          <w:szCs w:val="24"/>
          <w:lang w:val="es-CO"/>
        </w:rPr>
        <w:t>Por su parte, el Modelo de Procesamiento de la Información Social (Dodge y Pettit) explica que las experiencias tempranas moldean el conocimiento social, que a su vez influye en cómo los menores interpretan situaciones y actúan. Niños con experiencias de maltrato o exclusión pueden desarrollar sesgos cognitivos que los predisponen a comportamientos agresivos. Se diferencian dos tipos de agresión: reactiva (emocional e impulsiva) y proactiva (planificada y con fines instrumentales).</w:t>
      </w:r>
    </w:p>
    <w:p w:rsidR="0B773871" w:rsidP="6F35DEAE" w:rsidRDefault="0B773871" w14:paraId="67B7C543" w14:textId="7203751A">
      <w:pPr>
        <w:pStyle w:val="Normal"/>
        <w:spacing w:before="0" w:beforeAutospacing="off" w:after="0" w:afterAutospacing="off" w:line="480" w:lineRule="auto"/>
        <w:ind w:firstLine="709"/>
        <w:jc w:val="both"/>
      </w:pPr>
      <w:r w:rsidRPr="6F35DEAE" w:rsidR="0B773871">
        <w:rPr>
          <w:rFonts w:ascii="Arial" w:hAnsi="Arial" w:eastAsia="Arial" w:cs="Arial"/>
          <w:noProof w:val="0"/>
          <w:sz w:val="24"/>
          <w:szCs w:val="24"/>
          <w:lang w:val="es-CO"/>
        </w:rPr>
        <w:t>El Síndrome del Emperador (Garrido) describe casos de violencia filio-parental en los que no hay antecedentes de maltrato ni trastornos psiquiátricos. Se caracteriza por agresión habitual hacia los padres, ausencia de empatía y creencias distorsionadas. Se proponen dos rutas: una asociada a trastornos como el TDAH y otra centrada en violencia exclusiva hacia los padres con rasgos psicopáticos.</w:t>
      </w:r>
    </w:p>
    <w:p w:rsidR="6F35DEAE" w:rsidP="6F35DEAE" w:rsidRDefault="6F35DEAE" w14:paraId="497A92B4" w14:textId="36B4BCCD">
      <w:pPr>
        <w:spacing w:before="0" w:beforeAutospacing="off" w:after="0" w:afterAutospacing="off" w:line="480" w:lineRule="auto"/>
        <w:ind w:firstLine="709"/>
        <w:jc w:val="both"/>
        <w:rPr>
          <w:rFonts w:ascii="Arial" w:hAnsi="Arial" w:eastAsia="Arial" w:cs="Arial"/>
          <w:noProof w:val="0"/>
          <w:sz w:val="24"/>
          <w:szCs w:val="24"/>
          <w:lang w:val="es-CO"/>
        </w:rPr>
      </w:pPr>
    </w:p>
    <w:p w:rsidR="42437066" w:rsidP="35B2FBC5" w:rsidRDefault="42437066" w14:paraId="1A08B9E2" w14:textId="168099EA">
      <w:pPr>
        <w:spacing w:before="0" w:beforeAutospacing="off" w:after="0" w:afterAutospacing="off" w:line="480" w:lineRule="auto"/>
        <w:ind w:firstLine="709"/>
        <w:jc w:val="both"/>
        <w:rPr>
          <w:rFonts w:ascii="Arial" w:hAnsi="Arial" w:eastAsia="Arial" w:cs="Arial"/>
          <w:b w:val="1"/>
          <w:bCs w:val="1"/>
          <w:noProof w:val="0"/>
          <w:sz w:val="24"/>
          <w:szCs w:val="24"/>
          <w:lang w:val="es-CO"/>
        </w:rPr>
      </w:pPr>
      <w:r w:rsidRPr="35B2FBC5" w:rsidR="7466BA86">
        <w:rPr>
          <w:rFonts w:ascii="Arial" w:hAnsi="Arial" w:eastAsia="Arial" w:cs="Arial"/>
          <w:b w:val="1"/>
          <w:bCs w:val="1"/>
          <w:noProof w:val="0"/>
          <w:sz w:val="24"/>
          <w:szCs w:val="24"/>
          <w:lang w:val="es-CO"/>
        </w:rPr>
        <w:t xml:space="preserve">Desafíos </w:t>
      </w:r>
      <w:r w:rsidRPr="35B2FBC5" w:rsidR="7466BA86">
        <w:rPr>
          <w:rFonts w:ascii="Arial" w:hAnsi="Arial" w:eastAsia="Arial" w:cs="Arial"/>
          <w:b w:val="1"/>
          <w:bCs w:val="1"/>
          <w:noProof w:val="0"/>
          <w:sz w:val="24"/>
          <w:szCs w:val="24"/>
          <w:lang w:val="es-CO"/>
        </w:rPr>
        <w:t>en el abordaje de casos de VIF</w:t>
      </w:r>
    </w:p>
    <w:p w:rsidR="76549F06" w:rsidP="35B2FBC5" w:rsidRDefault="76549F06" w14:paraId="7AF44B71" w14:textId="7E294F59">
      <w:pPr>
        <w:spacing w:before="240" w:beforeAutospacing="off" w:after="240" w:afterAutospacing="off" w:line="480" w:lineRule="auto"/>
        <w:jc w:val="both"/>
        <w:rPr>
          <w:rFonts w:ascii="Arial" w:hAnsi="Arial" w:eastAsia="Arial" w:cs="Arial"/>
          <w:noProof w:val="0"/>
          <w:sz w:val="24"/>
          <w:szCs w:val="24"/>
          <w:lang w:val="es-CO"/>
        </w:rPr>
      </w:pPr>
      <w:r w:rsidRPr="35B2FBC5" w:rsidR="7466BA86">
        <w:rPr>
          <w:rFonts w:ascii="Arial" w:hAnsi="Arial" w:eastAsia="Arial" w:cs="Arial"/>
          <w:noProof w:val="0"/>
          <w:sz w:val="24"/>
          <w:szCs w:val="24"/>
          <w:lang w:val="es-CO"/>
        </w:rPr>
        <w:t>Las dificultades para adherirse al proceso restaurativo se acentúan en los casos de adolescentes que desempeñan un doble rol, es decir, aquellos que son tanto ofensores como víctimas de una situación de violencia. Estos casos presentan desafíos significativos, ya que la compleja experiencia de estos jóvenes, que pueden sentirse atrapados entre su comportamiento agresivo y las heridas sufridas, genera barreras emocionales y psicológicas para su participación efectiva en el proceso restaurativo.</w:t>
      </w:r>
      <w:r w:rsidRPr="35B2FBC5" w:rsidR="41B1D2F5">
        <w:rPr>
          <w:rFonts w:ascii="Arial" w:hAnsi="Arial" w:eastAsia="Arial" w:cs="Arial"/>
          <w:noProof w:val="0"/>
          <w:sz w:val="24"/>
          <w:szCs w:val="24"/>
          <w:lang w:val="es-CO"/>
        </w:rPr>
        <w:t xml:space="preserve"> </w:t>
      </w:r>
    </w:p>
    <w:p w:rsidR="76549F06" w:rsidP="35B2FBC5" w:rsidRDefault="76549F06" w14:paraId="18F18D9A" w14:textId="352B9C7D">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7466BA86">
        <w:rPr>
          <w:rFonts w:ascii="Arial" w:hAnsi="Arial" w:eastAsia="Arial" w:cs="Arial"/>
          <w:noProof w:val="0"/>
          <w:sz w:val="24"/>
          <w:szCs w:val="24"/>
          <w:lang w:val="es-CO"/>
        </w:rPr>
        <w:t xml:space="preserve">Una de las principales dificultades es la sensación de injusticia que experimentan al percibirse no solo como responsables del daño, sino también como víctimas de circunstancias o situaciones que los llevaron a cometer el acto. Esta percepción puede generar un sentimiento de confusión y resistencia hacia el proceso restaurativo, pues los adolescentes pueden cuestionar la equidad </w:t>
      </w:r>
      <w:r w:rsidRPr="35B2FBC5" w:rsidR="237C43CC">
        <w:rPr>
          <w:rFonts w:ascii="Arial" w:hAnsi="Arial" w:eastAsia="Arial" w:cs="Arial"/>
          <w:noProof w:val="0"/>
          <w:sz w:val="24"/>
          <w:szCs w:val="24"/>
          <w:lang w:val="es-CO"/>
        </w:rPr>
        <w:t>de este</w:t>
      </w:r>
      <w:r w:rsidRPr="35B2FBC5" w:rsidR="237C43CC">
        <w:rPr>
          <w:rFonts w:ascii="Arial" w:hAnsi="Arial" w:eastAsia="Arial" w:cs="Arial"/>
          <w:noProof w:val="0"/>
          <w:sz w:val="24"/>
          <w:szCs w:val="24"/>
          <w:lang w:val="es-CO"/>
        </w:rPr>
        <w:t xml:space="preserve">, </w:t>
      </w:r>
      <w:r w:rsidRPr="35B2FBC5" w:rsidR="7466BA86">
        <w:rPr>
          <w:rFonts w:ascii="Arial" w:hAnsi="Arial" w:eastAsia="Arial" w:cs="Arial"/>
          <w:noProof w:val="0"/>
          <w:sz w:val="24"/>
          <w:szCs w:val="24"/>
          <w:lang w:val="es-CO"/>
        </w:rPr>
        <w:t>si sienten que no se reconoce su sufrimiento o que se les responsabiliza en exceso.</w:t>
      </w:r>
      <w:r w:rsidRPr="35B2FBC5" w:rsidR="32B82686">
        <w:rPr>
          <w:rFonts w:ascii="Arial" w:hAnsi="Arial" w:eastAsia="Arial" w:cs="Arial"/>
          <w:noProof w:val="0"/>
          <w:sz w:val="24"/>
          <w:szCs w:val="24"/>
          <w:lang w:val="es-CO"/>
        </w:rPr>
        <w:t xml:space="preserve"> </w:t>
      </w:r>
    </w:p>
    <w:p w:rsidR="76549F06" w:rsidP="35B2FBC5" w:rsidRDefault="76549F06" w14:paraId="1287EEA3" w14:textId="364B31DB">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5C6D45D5">
        <w:rPr>
          <w:rFonts w:ascii="Arial" w:hAnsi="Arial" w:eastAsia="Arial" w:cs="Arial"/>
          <w:noProof w:val="0"/>
          <w:color w:val="000000" w:themeColor="text1" w:themeTint="FF" w:themeShade="FF"/>
          <w:sz w:val="24"/>
          <w:szCs w:val="24"/>
          <w:lang w:val="en-US"/>
        </w:rPr>
        <w:t xml:space="preserve">Venables, J., Young, A., O’Leary, P., &amp; </w:t>
      </w:r>
      <w:r w:rsidRPr="35B2FBC5" w:rsidR="5C6D45D5">
        <w:rPr>
          <w:rFonts w:ascii="Arial" w:hAnsi="Arial" w:eastAsia="Arial" w:cs="Arial"/>
          <w:noProof w:val="0"/>
          <w:sz w:val="24"/>
          <w:szCs w:val="24"/>
          <w:lang w:val="en-US"/>
        </w:rPr>
        <w:t>Dragiewicz</w:t>
      </w:r>
      <w:r w:rsidRPr="35B2FBC5" w:rsidR="5C6D45D5">
        <w:rPr>
          <w:rFonts w:ascii="Arial" w:hAnsi="Arial" w:eastAsia="Arial" w:cs="Arial"/>
          <w:noProof w:val="0"/>
          <w:sz w:val="24"/>
          <w:szCs w:val="24"/>
          <w:lang w:val="en-US"/>
        </w:rPr>
        <w:t>, M</w:t>
      </w:r>
      <w:r w:rsidRPr="35B2FBC5" w:rsidR="5C6D45D5">
        <w:rPr>
          <w:rFonts w:ascii="Arial" w:hAnsi="Arial" w:eastAsia="Arial" w:cs="Arial"/>
          <w:b w:val="1"/>
          <w:bCs w:val="1"/>
          <w:noProof w:val="0"/>
          <w:sz w:val="24"/>
          <w:szCs w:val="24"/>
          <w:lang w:val="en-US"/>
        </w:rPr>
        <w:t>.</w:t>
      </w:r>
      <w:r w:rsidRPr="35B2FBC5" w:rsidR="5C6D45D5">
        <w:rPr>
          <w:rFonts w:ascii="Arial" w:hAnsi="Arial" w:eastAsia="Arial" w:cs="Arial"/>
          <w:noProof w:val="0"/>
          <w:sz w:val="24"/>
          <w:szCs w:val="24"/>
          <w:lang w:val="en-US"/>
        </w:rPr>
        <w:t>, (2025</w:t>
      </w:r>
      <w:r w:rsidRPr="35B2FBC5" w:rsidR="5C6D45D5">
        <w:rPr>
          <w:rFonts w:ascii="Arial" w:hAnsi="Arial" w:eastAsia="Arial" w:cs="Arial"/>
          <w:noProof w:val="0"/>
          <w:color w:val="000000" w:themeColor="text1" w:themeTint="FF" w:themeShade="FF"/>
          <w:sz w:val="24"/>
          <w:szCs w:val="24"/>
          <w:lang w:val="es-CO"/>
        </w:rPr>
        <w:t>)</w:t>
      </w:r>
      <w:r w:rsidRPr="35B2FBC5" w:rsidR="5C6D45D5">
        <w:rPr>
          <w:rFonts w:ascii="Arial" w:hAnsi="Arial" w:eastAsia="Arial" w:cs="Arial"/>
          <w:noProof w:val="0"/>
          <w:sz w:val="24"/>
          <w:szCs w:val="24"/>
          <w:lang w:val="es-CO"/>
        </w:rPr>
        <w:t xml:space="preserve"> en su investigación sobre violencia intrafamiliar donde los adolescentes habían agredido a sus madres, encontraron que la mayoría de los adolescentes expresaron que sus madres no eran plenamente conscientes del grado de violencia que ellos habían sufrido a manos de los agresores adultos. Percibían que el impacto de esa violencia en sus vidas no había sido debidamente </w:t>
      </w:r>
      <w:r w:rsidRPr="35B2FBC5" w:rsidR="1B5D53B6">
        <w:rPr>
          <w:rFonts w:ascii="Arial" w:hAnsi="Arial" w:eastAsia="Arial" w:cs="Arial"/>
          <w:noProof w:val="0"/>
          <w:sz w:val="24"/>
          <w:szCs w:val="24"/>
          <w:lang w:val="es-CO"/>
        </w:rPr>
        <w:t>reconocido</w:t>
      </w:r>
      <w:r w:rsidRPr="35B2FBC5" w:rsidR="5C6D45D5">
        <w:rPr>
          <w:rFonts w:ascii="Arial" w:hAnsi="Arial" w:eastAsia="Arial" w:cs="Arial"/>
          <w:noProof w:val="0"/>
          <w:sz w:val="24"/>
          <w:szCs w:val="24"/>
          <w:lang w:val="es-CO"/>
        </w:rPr>
        <w:t xml:space="preserve">, lo que les generaba una sensación de incomprensión, incluso por parte de sus propias madres. </w:t>
      </w:r>
      <w:r w:rsidRPr="35B2FBC5" w:rsidR="5C6D45D5">
        <w:rPr>
          <w:rFonts w:ascii="Arial" w:hAnsi="Arial" w:eastAsia="Arial" w:cs="Arial"/>
          <w:noProof w:val="0"/>
          <w:sz w:val="24"/>
          <w:szCs w:val="24"/>
          <w:lang w:val="es-CO"/>
        </w:rPr>
        <w:t>E</w:t>
      </w:r>
      <w:r w:rsidRPr="35B2FBC5" w:rsidR="22E6B90E">
        <w:rPr>
          <w:rFonts w:ascii="Arial" w:hAnsi="Arial" w:eastAsia="Arial" w:cs="Arial"/>
          <w:noProof w:val="0"/>
          <w:sz w:val="24"/>
          <w:szCs w:val="24"/>
          <w:lang w:val="es-CO"/>
        </w:rPr>
        <w:t>sta</w:t>
      </w:r>
      <w:r w:rsidRPr="35B2FBC5" w:rsidR="22E6B90E">
        <w:rPr>
          <w:rFonts w:ascii="Arial" w:hAnsi="Arial" w:eastAsia="Arial" w:cs="Arial"/>
          <w:noProof w:val="0"/>
          <w:sz w:val="24"/>
          <w:szCs w:val="24"/>
          <w:lang w:val="es-CO"/>
        </w:rPr>
        <w:t xml:space="preserve"> falta de comprensión, junto con el hecho de sentirse ignorados o considerados una carga, contribuía a que experimentaran sentimientos de rechazo.</w:t>
      </w:r>
      <w:r w:rsidRPr="35B2FBC5" w:rsidR="22E6B90E">
        <w:rPr>
          <w:rFonts w:ascii="Arial" w:hAnsi="Arial" w:eastAsia="Arial" w:cs="Arial"/>
          <w:noProof w:val="0"/>
          <w:sz w:val="24"/>
          <w:szCs w:val="24"/>
          <w:lang w:val="es-CO"/>
        </w:rPr>
        <w:t xml:space="preserve"> Para muchos, la obligación de asistir a un programa para trabajar sobre su propia violencia les resultaba injusta, especialmente al ver que los agresores adultos no enfrentaban consecuencias por sus actos. Ser comparados con esos agresores intensificaba el estigma y dañaba su autoestima. Esto podía llevarlos a reaccionar con enojo, manifestaciones de violencia o aislamiento en sus relaciones. Además, algunos señalaron como injusto que otros hermanos violentos no tuvieran que participar en el programa.</w:t>
      </w:r>
      <w:r w:rsidRPr="35B2FBC5" w:rsidR="25901AAD">
        <w:rPr>
          <w:rFonts w:ascii="Arial" w:hAnsi="Arial" w:eastAsia="Arial" w:cs="Arial"/>
          <w:noProof w:val="0"/>
          <w:sz w:val="24"/>
          <w:szCs w:val="24"/>
          <w:lang w:val="es-CO"/>
        </w:rPr>
        <w:t xml:space="preserve"> </w:t>
      </w:r>
    </w:p>
    <w:p w:rsidR="76549F06" w:rsidP="35B2FBC5" w:rsidRDefault="76549F06" w14:paraId="3C6D4ED4" w14:textId="093C4E2F">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22E6B90E">
        <w:rPr>
          <w:rFonts w:ascii="Arial" w:hAnsi="Arial" w:eastAsia="Arial" w:cs="Arial"/>
          <w:noProof w:val="0"/>
          <w:sz w:val="24"/>
          <w:szCs w:val="24"/>
          <w:lang w:val="es-CO"/>
        </w:rPr>
        <w:t>Además, esta dinámica se ve intensificada si la víctima no está adecuadamente involucrada o si el proceso restaurativo no toma en cuenta el contexto más amplio de las relaciones entre ambas partes. La falta de una adecuada intervención y comunicación entre el ofensor y la víctima puede perpetuar el ciclo de desconfianza y frustración, lo que dificulta el avance hacia una resolución constructiva y transformadora para ambos.</w:t>
      </w:r>
    </w:p>
    <w:p w:rsidR="76549F06" w:rsidP="35B2FBC5" w:rsidRDefault="76549F06" w14:paraId="53356766" w14:textId="6CB61B1B">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22E6B90E">
        <w:rPr>
          <w:rFonts w:ascii="Arial" w:hAnsi="Arial" w:eastAsia="Arial" w:cs="Arial" w:asciiTheme="minorAscii" w:hAnsiTheme="minorAscii" w:eastAsiaTheme="minorAscii" w:cstheme="minorBidi"/>
          <w:noProof w:val="0"/>
          <w:color w:val="auto"/>
          <w:sz w:val="24"/>
          <w:szCs w:val="24"/>
          <w:lang w:val="es-CO" w:eastAsia="en-US" w:bidi="ar-SA"/>
        </w:rPr>
        <w:t xml:space="preserve">Otro de los desafíos a los que se enfrenta el PDJJR, es el proceso de reconstrucción vínculos relacionales enmarcados en el respeto y el buen trato, en aquellos casos, donde la víctima no convive actualmente con el ofensor; en este tipo de situaciones, se evidencia hitos en el curso de vida familiar que no corresponden únicamente a la violencia directa por la que fue interpuesta la denuncia, sino que, existen situaciones que anteceden al conflicto que han generado el debilitamiento de la relación y el distanciamiento entre las partes involucradas, dificultando de manera significativa la generación de espacios de socialización e interacción propiciados por el área psicosocial por las barreras y resistencia que interponen al encuentro con el otro. </w:t>
      </w:r>
    </w:p>
    <w:p w:rsidR="76549F06" w:rsidP="35B2FBC5" w:rsidRDefault="76549F06" w14:paraId="5DF2C48F" w14:textId="281D583A">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22E6B90E">
        <w:rPr>
          <w:rFonts w:ascii="Arial" w:hAnsi="Arial" w:eastAsia="Arial" w:cs="Arial" w:asciiTheme="minorAscii" w:hAnsiTheme="minorAscii" w:eastAsiaTheme="minorAscii" w:cstheme="minorBidi"/>
          <w:noProof w:val="0"/>
          <w:color w:val="auto"/>
          <w:sz w:val="24"/>
          <w:szCs w:val="24"/>
          <w:lang w:val="es-CO" w:eastAsia="en-US" w:bidi="ar-SA"/>
        </w:rPr>
        <w:t xml:space="preserve">Sumado a esto, se ha evidenciado que otras redes vinculantes familiares, se polarizan y no asumen posturas mediadoras entre las partes, sino que, con su accionar continúan abriendo brechas que dificultan el </w:t>
      </w:r>
      <w:r w:rsidRPr="35B2FBC5" w:rsidR="22E6B90E">
        <w:rPr>
          <w:rFonts w:ascii="Arial" w:hAnsi="Arial" w:eastAsia="Arial" w:cs="Arial" w:asciiTheme="minorAscii" w:hAnsiTheme="minorAscii" w:eastAsiaTheme="minorAscii" w:cstheme="minorBidi"/>
          <w:noProof w:val="0"/>
          <w:color w:val="auto"/>
          <w:sz w:val="24"/>
          <w:szCs w:val="24"/>
          <w:lang w:val="es-CO" w:eastAsia="en-US" w:bidi="ar-SA"/>
        </w:rPr>
        <w:t>desescalamiento</w:t>
      </w:r>
      <w:r w:rsidRPr="35B2FBC5" w:rsidR="22E6B90E">
        <w:rPr>
          <w:rFonts w:ascii="Arial" w:hAnsi="Arial" w:eastAsia="Arial" w:cs="Arial" w:asciiTheme="minorAscii" w:hAnsiTheme="minorAscii" w:eastAsiaTheme="minorAscii" w:cstheme="minorBidi"/>
          <w:noProof w:val="0"/>
          <w:color w:val="auto"/>
          <w:sz w:val="24"/>
          <w:szCs w:val="24"/>
          <w:lang w:val="es-CO" w:eastAsia="en-US" w:bidi="ar-SA"/>
        </w:rPr>
        <w:t xml:space="preserve"> del conflicto. En este sentido, es fundamental que el proceso restaurativo no solo se enfoque en la reparación del daño causado, sino también en la atención y comprensión de las experiencias traumáticas de los jóvenes en su totalidad, para garantizar que ambas partes puedan avanzar hacia un proceso de restauración mutua.</w:t>
      </w:r>
    </w:p>
    <w:p w:rsidR="76549F06" w:rsidP="35B2FBC5" w:rsidRDefault="76549F06" w14:paraId="6F0CB267" w14:textId="69090737">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76549F06">
        <w:rPr>
          <w:rFonts w:ascii="Arial" w:hAnsi="Arial" w:eastAsia="Arial" w:cs="Arial"/>
          <w:noProof w:val="0"/>
          <w:sz w:val="24"/>
          <w:szCs w:val="24"/>
          <w:lang w:val="es-CO"/>
        </w:rPr>
        <w:t>Por último, un desafío importante se relaciona con los antecedentes de salud mental de los usuarios, ya que estos requieren una atención especializada. La falta de esta atención, de manera paralela al proceso, dificulta el avance hacia los objetivos restaurativos. Asimismo, mantener la adherencia de todos los actores involucrados representa un reto, especialmente considerando la historia de violencia familiar y el tiempo limitado destinado al proceso restaurativo.</w:t>
      </w:r>
    </w:p>
    <w:p w:rsidR="0DB83912" w:rsidP="35B2FBC5" w:rsidRDefault="0DB83912" w14:paraId="67991EA6" w14:textId="08435F14">
      <w:pPr>
        <w:tabs>
          <w:tab w:val="left" w:leader="none" w:pos="1620"/>
        </w:tabs>
        <w:spacing w:before="0" w:beforeAutospacing="off" w:after="160" w:afterAutospacing="off" w:line="480" w:lineRule="auto"/>
        <w:jc w:val="both"/>
        <w:rPr>
          <w:rFonts w:ascii="Arial" w:hAnsi="Arial" w:eastAsia="Arial" w:cs="Arial"/>
          <w:noProof w:val="0"/>
          <w:sz w:val="24"/>
          <w:szCs w:val="24"/>
          <w:lang w:val="es-CO"/>
        </w:rPr>
      </w:pPr>
    </w:p>
    <w:p w:rsidR="74D8DBB6" w:rsidP="35B2FBC5" w:rsidRDefault="74D8DBB6" w14:paraId="2B54ECB6" w14:textId="01C1F0E9">
      <w:pPr>
        <w:spacing w:before="0" w:beforeAutospacing="off" w:after="0" w:afterAutospacing="off" w:line="480" w:lineRule="auto"/>
        <w:ind w:firstLine="709"/>
        <w:jc w:val="both"/>
        <w:rPr>
          <w:rFonts w:ascii="Arial" w:hAnsi="Arial" w:eastAsia="Arial" w:cs="Arial"/>
          <w:b w:val="1"/>
          <w:bCs w:val="1"/>
          <w:noProof w:val="0"/>
          <w:sz w:val="24"/>
          <w:szCs w:val="24"/>
          <w:lang w:val="es-CO"/>
        </w:rPr>
      </w:pPr>
      <w:r w:rsidRPr="35B2FBC5" w:rsidR="50520B65">
        <w:rPr>
          <w:rFonts w:ascii="Arial" w:hAnsi="Arial" w:eastAsia="Arial" w:cs="Arial"/>
          <w:b w:val="1"/>
          <w:bCs w:val="1"/>
          <w:noProof w:val="0"/>
          <w:sz w:val="24"/>
          <w:szCs w:val="24"/>
          <w:lang w:val="es-CO"/>
        </w:rPr>
        <w:t xml:space="preserve">La Justicia restaurativa </w:t>
      </w:r>
      <w:r w:rsidRPr="35B2FBC5" w:rsidR="44B34FED">
        <w:rPr>
          <w:rFonts w:ascii="Arial" w:hAnsi="Arial" w:eastAsia="Arial" w:cs="Arial"/>
          <w:b w:val="1"/>
          <w:bCs w:val="1"/>
          <w:noProof w:val="0"/>
          <w:sz w:val="24"/>
          <w:szCs w:val="24"/>
          <w:lang w:val="es-CO"/>
        </w:rPr>
        <w:t>en</w:t>
      </w:r>
      <w:r w:rsidRPr="35B2FBC5" w:rsidR="50520B65">
        <w:rPr>
          <w:rFonts w:ascii="Arial" w:hAnsi="Arial" w:eastAsia="Arial" w:cs="Arial"/>
          <w:b w:val="1"/>
          <w:bCs w:val="1"/>
          <w:noProof w:val="0"/>
          <w:sz w:val="24"/>
          <w:szCs w:val="24"/>
          <w:lang w:val="es-CO"/>
        </w:rPr>
        <w:t xml:space="preserve"> la VIF </w:t>
      </w:r>
    </w:p>
    <w:p w:rsidR="71145355" w:rsidP="35B2FBC5" w:rsidRDefault="71145355" w14:paraId="338CB59C" w14:textId="6D2A75DB">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Dado que uno de los</w:t>
      </w:r>
      <w:r w:rsidRPr="35B2FBC5" w:rsidR="1ABBCF78">
        <w:rPr>
          <w:rFonts w:ascii="Arial" w:hAnsi="Arial" w:eastAsia="Arial" w:cs="Arial"/>
          <w:noProof w:val="0"/>
          <w:sz w:val="24"/>
          <w:szCs w:val="24"/>
          <w:lang w:val="es-CO"/>
        </w:rPr>
        <w:t xml:space="preserve"> principales objetivos del sistema de justicia juvenil es reducir la reincidencia, se ha planteado la cuestión de si la JR es eficaz para ello. Actualmente, el modelo de tratamiento y rehabilitación con más desarrollo y aval científico es el de la gestión del riesgo, cuya finalidad de abordar de manera efectiva los niveles de riesgo y necesidades </w:t>
      </w:r>
      <w:r w:rsidRPr="35B2FBC5" w:rsidR="1ABBCF78">
        <w:rPr>
          <w:rFonts w:ascii="Arial" w:hAnsi="Arial" w:eastAsia="Arial" w:cs="Arial"/>
          <w:noProof w:val="0"/>
          <w:sz w:val="24"/>
          <w:szCs w:val="24"/>
          <w:lang w:val="es-CO"/>
        </w:rPr>
        <w:t>crimógenas</w:t>
      </w:r>
      <w:r w:rsidRPr="35B2FBC5" w:rsidR="1ABBCF78">
        <w:rPr>
          <w:rFonts w:ascii="Arial" w:hAnsi="Arial" w:eastAsia="Arial" w:cs="Arial"/>
          <w:noProof w:val="0"/>
          <w:sz w:val="24"/>
          <w:szCs w:val="24"/>
          <w:lang w:val="es-CO"/>
        </w:rPr>
        <w:t xml:space="preserve"> (Andrews y </w:t>
      </w:r>
      <w:r w:rsidRPr="35B2FBC5" w:rsidR="1ABBCF78">
        <w:rPr>
          <w:rFonts w:ascii="Arial" w:hAnsi="Arial" w:eastAsia="Arial" w:cs="Arial"/>
          <w:noProof w:val="0"/>
          <w:sz w:val="24"/>
          <w:szCs w:val="24"/>
          <w:lang w:val="es-CO"/>
        </w:rPr>
        <w:t>Bonta</w:t>
      </w:r>
      <w:r w:rsidRPr="35B2FBC5" w:rsidR="1ABBCF78">
        <w:rPr>
          <w:rFonts w:ascii="Arial" w:hAnsi="Arial" w:eastAsia="Arial" w:cs="Arial"/>
          <w:noProof w:val="0"/>
          <w:sz w:val="24"/>
          <w:szCs w:val="24"/>
          <w:lang w:val="es-CO"/>
        </w:rPr>
        <w:t xml:space="preserve"> 2010). En relación con lo anterior, Ward y </w:t>
      </w:r>
      <w:r w:rsidRPr="35B2FBC5" w:rsidR="1ABBCF78">
        <w:rPr>
          <w:rFonts w:ascii="Arial" w:hAnsi="Arial" w:eastAsia="Arial" w:cs="Arial"/>
          <w:noProof w:val="0"/>
          <w:sz w:val="24"/>
          <w:szCs w:val="24"/>
          <w:lang w:val="es-CO"/>
        </w:rPr>
        <w:t>Langlands</w:t>
      </w:r>
      <w:r w:rsidRPr="35B2FBC5" w:rsidR="1ABBCF78">
        <w:rPr>
          <w:rFonts w:ascii="Arial" w:hAnsi="Arial" w:eastAsia="Arial" w:cs="Arial"/>
          <w:noProof w:val="0"/>
          <w:sz w:val="24"/>
          <w:szCs w:val="24"/>
          <w:lang w:val="es-CO"/>
        </w:rPr>
        <w:t xml:space="preserve"> (2009) argumentan que existe una relación entre la JR, el modelo de Riesgo Necesidad y Responsabilidad (RNR) y los modelos cognitivo-conductuales. Para Van Ness y </w:t>
      </w:r>
      <w:r w:rsidRPr="35B2FBC5" w:rsidR="1ABBCF78">
        <w:rPr>
          <w:rFonts w:ascii="Arial" w:hAnsi="Arial" w:eastAsia="Arial" w:cs="Arial"/>
          <w:noProof w:val="0"/>
          <w:sz w:val="24"/>
          <w:szCs w:val="24"/>
          <w:lang w:val="es-CO"/>
        </w:rPr>
        <w:t>Strong</w:t>
      </w:r>
      <w:r w:rsidRPr="35B2FBC5" w:rsidR="1ABBCF78">
        <w:rPr>
          <w:rFonts w:ascii="Arial" w:hAnsi="Arial" w:eastAsia="Arial" w:cs="Arial"/>
          <w:noProof w:val="0"/>
          <w:sz w:val="24"/>
          <w:szCs w:val="24"/>
          <w:lang w:val="es-CO"/>
        </w:rPr>
        <w:t xml:space="preserve"> (2006), por ejemplo, existen cuatro valores fundamentales en la práctica de la justicia restaurativa: la reparación, el encuentro, la inclusión y la reintegración. Dentro de la categoría encuentro, se aborda el cambio del comportamiento a partir de la modificación de creencias y actitudes de crimen, de manera similar, el modelo RNR, donde se pretende disminuir los riesgos potenciales que guardan relación con actitudes criminales.</w:t>
      </w:r>
    </w:p>
    <w:p w:rsidR="71145355" w:rsidP="35B2FBC5" w:rsidRDefault="71145355" w14:paraId="323A8C5E" w14:textId="626849F3">
      <w:pPr>
        <w:spacing w:before="0" w:beforeAutospacing="off" w:after="0" w:afterAutospacing="off" w:line="480" w:lineRule="auto"/>
        <w:ind w:firstLine="709"/>
        <w:jc w:val="both"/>
      </w:pPr>
      <w:r w:rsidRPr="35B2FBC5" w:rsidR="1ABBCF78">
        <w:rPr>
          <w:rFonts w:ascii="Arial" w:hAnsi="Arial" w:eastAsia="Arial" w:cs="Arial"/>
          <w:noProof w:val="0"/>
          <w:sz w:val="24"/>
          <w:szCs w:val="24"/>
          <w:lang w:val="es-CO"/>
        </w:rPr>
        <w:t xml:space="preserve">La JR, de acuerdo con Van Ness y </w:t>
      </w:r>
      <w:r w:rsidRPr="35B2FBC5" w:rsidR="1ABBCF78">
        <w:rPr>
          <w:rFonts w:ascii="Arial" w:hAnsi="Arial" w:eastAsia="Arial" w:cs="Arial"/>
          <w:noProof w:val="0"/>
          <w:sz w:val="24"/>
          <w:szCs w:val="24"/>
          <w:lang w:val="es-CO"/>
        </w:rPr>
        <w:t>Strong</w:t>
      </w:r>
      <w:r w:rsidRPr="35B2FBC5" w:rsidR="1ABBCF78">
        <w:rPr>
          <w:rFonts w:ascii="Arial" w:hAnsi="Arial" w:eastAsia="Arial" w:cs="Arial"/>
          <w:noProof w:val="0"/>
          <w:sz w:val="24"/>
          <w:szCs w:val="24"/>
          <w:lang w:val="es-CO"/>
        </w:rPr>
        <w:t xml:space="preserve"> (2022) es una forma de justicia que aborda los conflictos desde un enfoque social, afectivo, pedagógico y de derechos, orientado por los principios de la protección integral, interés superior del adolescente y corresponsabilidad familiar. En JR la víctima y el ofensor, participan de forma activa en la solución de las consecuencias derivadas del delito y en el fortalecimiento del tejido social. </w:t>
      </w:r>
      <w:r w:rsidRPr="35B2FBC5" w:rsidR="1ABBCF78">
        <w:rPr>
          <w:rFonts w:ascii="Arial" w:hAnsi="Arial" w:eastAsia="Arial" w:cs="Arial"/>
          <w:noProof w:val="0"/>
          <w:sz w:val="24"/>
          <w:szCs w:val="24"/>
          <w:lang w:val="es-CO"/>
        </w:rPr>
        <w:t>Para lograr tal cometido, se establecen en el proceso de acompañamiento tres objetivos: (I) responsabilización: reconocimiento por parte del ofensor sobre las consecuencias de la propia conducta y los daños experimentados por la víctima con ocasión del delito, así como el reconocimiento de las víctimas indirectas y de las afectaciones a la comunidad; (II) reparación: implica atender las necesidades derivadas de los daños que generó el delito, la reconstrucción de vínculos, toma de conciencia, fomenta la empatía, el fortalecimiento de las habilidades y destrezas personales</w:t>
      </w:r>
      <w:r w:rsidRPr="35B2FBC5" w:rsidR="13BF8F87">
        <w:rPr>
          <w:rFonts w:ascii="Arial" w:hAnsi="Arial" w:eastAsia="Arial" w:cs="Arial"/>
          <w:noProof w:val="0"/>
          <w:sz w:val="24"/>
          <w:szCs w:val="24"/>
          <w:lang w:val="es-CO"/>
        </w:rPr>
        <w:t>,</w:t>
      </w:r>
      <w:r w:rsidRPr="35B2FBC5" w:rsidR="13BF8F87">
        <w:rPr>
          <w:rFonts w:ascii="Arial" w:hAnsi="Arial" w:eastAsia="Arial" w:cs="Arial"/>
          <w:noProof w:val="0"/>
          <w:sz w:val="24"/>
          <w:szCs w:val="24"/>
          <w:lang w:val="es-CO"/>
        </w:rPr>
        <w:t xml:space="preserve"> las </w:t>
      </w:r>
      <w:r w:rsidRPr="35B2FBC5" w:rsidR="1ABBCF78">
        <w:rPr>
          <w:rFonts w:ascii="Arial" w:hAnsi="Arial" w:eastAsia="Arial" w:cs="Arial"/>
          <w:noProof w:val="0"/>
          <w:sz w:val="24"/>
          <w:szCs w:val="24"/>
          <w:lang w:val="es-CO"/>
        </w:rPr>
        <w:t>relacion</w:t>
      </w:r>
      <w:r w:rsidRPr="35B2FBC5" w:rsidR="598140FB">
        <w:rPr>
          <w:rFonts w:ascii="Arial" w:hAnsi="Arial" w:eastAsia="Arial" w:cs="Arial"/>
          <w:noProof w:val="0"/>
          <w:sz w:val="24"/>
          <w:szCs w:val="24"/>
          <w:lang w:val="es-CO"/>
        </w:rPr>
        <w:t>es</w:t>
      </w:r>
      <w:r w:rsidRPr="35B2FBC5" w:rsidR="6334A2A8">
        <w:rPr>
          <w:rFonts w:ascii="Arial" w:hAnsi="Arial" w:eastAsia="Arial" w:cs="Arial"/>
          <w:noProof w:val="0"/>
          <w:sz w:val="24"/>
          <w:szCs w:val="24"/>
          <w:lang w:val="es-CO"/>
        </w:rPr>
        <w:t xml:space="preserve">, </w:t>
      </w:r>
      <w:r w:rsidRPr="35B2FBC5" w:rsidR="1ABBCF78">
        <w:rPr>
          <w:rFonts w:ascii="Arial" w:hAnsi="Arial" w:eastAsia="Arial" w:cs="Arial"/>
          <w:noProof w:val="0"/>
          <w:sz w:val="24"/>
          <w:szCs w:val="24"/>
          <w:lang w:val="es-CO"/>
        </w:rPr>
        <w:t xml:space="preserve"> </w:t>
      </w:r>
      <w:r w:rsidRPr="35B2FBC5" w:rsidR="1ABBCF78">
        <w:rPr>
          <w:rFonts w:ascii="Arial" w:hAnsi="Arial" w:eastAsia="Arial" w:cs="Arial"/>
          <w:noProof w:val="0"/>
          <w:sz w:val="24"/>
          <w:szCs w:val="24"/>
          <w:lang w:val="es-CO"/>
        </w:rPr>
        <w:t>el cuidado de la confianza y seguridad de la víctima, a partir de prácticas que rechazan la conducta inaceptable y fomentan el abandono de la actitud criminal</w:t>
      </w:r>
      <w:r w:rsidRPr="35B2FBC5" w:rsidR="1ABBCF78">
        <w:rPr>
          <w:rFonts w:ascii="Arial" w:hAnsi="Arial" w:eastAsia="Arial" w:cs="Arial"/>
          <w:noProof w:val="0"/>
          <w:sz w:val="24"/>
          <w:szCs w:val="24"/>
          <w:lang w:val="es-CO"/>
        </w:rPr>
        <w:t>;</w:t>
      </w:r>
      <w:r w:rsidRPr="35B2FBC5" w:rsidR="713778F3">
        <w:rPr>
          <w:rFonts w:ascii="Arial" w:hAnsi="Arial" w:eastAsia="Arial" w:cs="Arial"/>
          <w:noProof w:val="0"/>
          <w:sz w:val="24"/>
          <w:szCs w:val="24"/>
          <w:lang w:val="es-CO"/>
        </w:rPr>
        <w:t xml:space="preserve"> por </w:t>
      </w:r>
      <w:r w:rsidRPr="35B2FBC5" w:rsidR="713778F3">
        <w:rPr>
          <w:rFonts w:ascii="Arial" w:hAnsi="Arial" w:eastAsia="Arial" w:cs="Arial"/>
          <w:noProof w:val="0"/>
          <w:sz w:val="24"/>
          <w:szCs w:val="24"/>
          <w:lang w:val="es-CO"/>
        </w:rPr>
        <w:t>ú</w:t>
      </w:r>
      <w:r w:rsidRPr="35B2FBC5" w:rsidR="713778F3">
        <w:rPr>
          <w:rFonts w:ascii="Arial" w:hAnsi="Arial" w:eastAsia="Arial" w:cs="Arial"/>
          <w:noProof w:val="0"/>
          <w:sz w:val="24"/>
          <w:szCs w:val="24"/>
          <w:lang w:val="es-CO"/>
        </w:rPr>
        <w:t>ltimo</w:t>
      </w:r>
      <w:r w:rsidRPr="35B2FBC5" w:rsidR="1ABBCF78">
        <w:rPr>
          <w:rFonts w:ascii="Arial" w:hAnsi="Arial" w:eastAsia="Arial" w:cs="Arial"/>
          <w:noProof w:val="0"/>
          <w:sz w:val="24"/>
          <w:szCs w:val="24"/>
          <w:lang w:val="es-CO"/>
        </w:rPr>
        <w:t xml:space="preserve"> (III) reintegración: cierre y fase de reintegración y fortalecimiento de los vínculos comunitarios, implica un apoyo para para dar garantías de que ya no es una amenaza</w:t>
      </w:r>
      <w:r w:rsidRPr="35B2FBC5" w:rsidR="7B6C8CDA">
        <w:rPr>
          <w:rFonts w:ascii="Arial" w:hAnsi="Arial" w:eastAsia="Arial" w:cs="Arial"/>
          <w:noProof w:val="0"/>
          <w:sz w:val="24"/>
          <w:szCs w:val="24"/>
          <w:lang w:val="es-CO"/>
        </w:rPr>
        <w:t xml:space="preserve">. </w:t>
      </w:r>
      <w:r w:rsidRPr="35B2FBC5" w:rsidR="4485EB22">
        <w:rPr>
          <w:rFonts w:ascii="Arial" w:hAnsi="Arial" w:eastAsia="Arial" w:cs="Arial"/>
          <w:noProof w:val="0"/>
          <w:sz w:val="24"/>
          <w:szCs w:val="24"/>
          <w:lang w:val="es-CO"/>
        </w:rPr>
        <w:t xml:space="preserve">Esto implica un proceso de reflexión en torno al principio de corresponsabilidad, mediante el cual el Estado, la sociedad y la familia reconocen la parte de responsabilidad que les corresponde frente al delito, así como la necesidad de cuidarse mutuamente. Además, este proceso busca favorecer el establecimiento de un proyecto de vida alejado de la criminalidad. </w:t>
      </w:r>
      <w:r w:rsidRPr="35B2FBC5" w:rsidR="1ABBCF78">
        <w:rPr>
          <w:rFonts w:ascii="Arial" w:hAnsi="Arial" w:eastAsia="Arial" w:cs="Arial"/>
          <w:noProof w:val="0"/>
          <w:sz w:val="24"/>
          <w:szCs w:val="24"/>
          <w:lang w:val="es-CO"/>
        </w:rPr>
        <w:t xml:space="preserve"> </w:t>
      </w:r>
    </w:p>
    <w:p w:rsidR="71145355" w:rsidP="35B2FBC5" w:rsidRDefault="71145355" w14:paraId="20281065" w14:textId="575EEA57">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548AEE46">
        <w:rPr>
          <w:rFonts w:ascii="Arial" w:hAnsi="Arial" w:eastAsia="Arial" w:cs="Arial"/>
          <w:noProof w:val="0"/>
          <w:sz w:val="24"/>
          <w:szCs w:val="24"/>
          <w:lang w:val="es-CO"/>
        </w:rPr>
        <w:t>Para atender los procesos de VIF desde la Justicia Restaurativa y lograr los objetivos anteriormente planteados, en el PDJJR se han identificado como prioritario trabajar temas encaminados al reconocimiento de las violencias para desnaturalizarlas, el reconocimiento de roles, entrenamiento en pautas de crianza,  identificación y fortalecimiento de redes de apoyo, construcción de vínculos efectivos, proyecto de vida familiar, orientar y acompañar en el proceso de responsabilizarse del conflicto y de los daños causados, resignificar heridas dentro del vínculo víctima-ofensor, fortalecimiento de habilidades de gestión emocional, toma de decisiones, estilos de comunicación, fortalecimiento de la empatía específica, aceptación y compromiso, incentivar esfuerzos personales para el planteamiento de estrategias que permitan manejar los problemas y conflictos de forma creativa y flexible, identificando en ellos oportunidades de cambio, crecimiento personal y social, identificar las fuentes de tensión y estrés en la vida cotidiana, establecimiento de normas y límites en el hogar. En general, se requiere un de un trabajo integral, orientado al sentido de vida y fortalecimiento de habilidades para la vida y comunicación no violenta.</w:t>
      </w:r>
      <w:r w:rsidRPr="35B2FBC5" w:rsidR="548AEE46">
        <w:rPr>
          <w:rFonts w:ascii="Arial" w:hAnsi="Arial" w:eastAsia="Arial" w:cs="Arial"/>
          <w:noProof w:val="0"/>
          <w:sz w:val="24"/>
          <w:szCs w:val="24"/>
          <w:lang w:val="es-CO"/>
        </w:rPr>
        <w:t xml:space="preserve"> </w:t>
      </w:r>
    </w:p>
    <w:p w:rsidR="71145355" w:rsidP="35B2FBC5" w:rsidRDefault="71145355" w14:paraId="15D33C5D" w14:textId="49D3DE77">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548AEE46">
        <w:rPr>
          <w:rFonts w:ascii="Arial" w:hAnsi="Arial" w:eastAsia="Arial" w:cs="Arial"/>
          <w:noProof w:val="0"/>
          <w:sz w:val="24"/>
          <w:szCs w:val="24"/>
          <w:lang w:val="es-CO"/>
        </w:rPr>
        <w:t xml:space="preserve">En el PDJJR se han encontrado como objetivos especialmente retadores para lograr resultados restaurativos en los casos de VIF los siguientes: cambio de patrones de pensamiento y creencias que normalizan y justifican la violencia, transformar la comunicación violenta en asertiva, el control de impulsos en los ofensores, el reconocimiento de las micro violencias de género, el reconocimiento del daño sobre todo cuando las partes tienen un doble rol, la interiorización y puesta en práctica de herramientas adecuadas para manejar los factores de estrés, y la modificación de patrones agresivos. </w:t>
      </w:r>
      <w:r w:rsidRPr="35B2FBC5" w:rsidR="548AEE46">
        <w:rPr>
          <w:rFonts w:ascii="Arial" w:hAnsi="Arial" w:eastAsia="Arial" w:cs="Arial"/>
          <w:noProof w:val="0"/>
          <w:sz w:val="24"/>
          <w:szCs w:val="24"/>
          <w:lang w:val="es-CO"/>
        </w:rPr>
        <w:t>Estos elementos permiten identificar los aspectos en los que es necesario poner especial énfasis durante las intervenciones, así como aquellas áreas que requieren más tiempo, recursos y estrategias específicas para alcanzar los objetivos propuestos.</w:t>
      </w:r>
      <w:r w:rsidRPr="35B2FBC5" w:rsidR="548AEE46">
        <w:rPr>
          <w:rFonts w:ascii="Arial" w:hAnsi="Arial" w:eastAsia="Arial" w:cs="Arial"/>
          <w:noProof w:val="0"/>
          <w:sz w:val="24"/>
          <w:szCs w:val="24"/>
          <w:lang w:val="es-CO"/>
        </w:rPr>
        <w:t xml:space="preserve"> </w:t>
      </w:r>
    </w:p>
    <w:p w:rsidR="71145355" w:rsidP="35B2FBC5" w:rsidRDefault="71145355" w14:paraId="3267EB68" w14:textId="577385FA">
      <w:pPr>
        <w:spacing w:before="0" w:beforeAutospacing="off" w:after="0" w:afterAutospacing="off" w:line="480" w:lineRule="auto"/>
        <w:ind w:firstLine="709"/>
        <w:jc w:val="both"/>
        <w:rPr>
          <w:rFonts w:ascii="Arial" w:hAnsi="Arial" w:eastAsia="Arial" w:cs="Arial"/>
          <w:noProof w:val="0"/>
          <w:color w:val="000000" w:themeColor="text1" w:themeTint="FF" w:themeShade="FF"/>
          <w:sz w:val="24"/>
          <w:szCs w:val="24"/>
          <w:lang w:val="es-CO"/>
        </w:rPr>
      </w:pPr>
      <w:r w:rsidRPr="35B2FBC5" w:rsidR="548AEE46">
        <w:rPr>
          <w:rFonts w:ascii="Arial" w:hAnsi="Arial" w:eastAsia="Arial" w:cs="Arial"/>
          <w:noProof w:val="0"/>
          <w:color w:val="000000" w:themeColor="text1" w:themeTint="FF" w:themeShade="FF"/>
          <w:sz w:val="24"/>
          <w:szCs w:val="24"/>
          <w:lang w:val="es-CO"/>
        </w:rPr>
        <w:t>En los casos donde no se logró cumplir con el Plan Integral Restaurativo, elaborado por los profesionales, las razones y factores de riesgo más frecuentes incluyen situaciones de violencia marcadas de la víctima hacia el ofensor, lo que dificulta el reconocimiento de la violencia ejercida por este último. La normalización de la violencia como estrategia para resolver conflictos, junto con un contexto familiar que perpetúa conductas problemáticas y una baja responsabilización, contribuyen significativamente a la resistencia al cambio.</w:t>
      </w:r>
      <w:r w:rsidRPr="35B2FBC5" w:rsidR="1ABBCF78">
        <w:rPr>
          <w:rFonts w:ascii="Arial" w:hAnsi="Arial" w:eastAsia="Arial" w:cs="Arial"/>
          <w:noProof w:val="0"/>
          <w:color w:val="000000" w:themeColor="text1" w:themeTint="FF" w:themeShade="FF"/>
          <w:sz w:val="24"/>
          <w:szCs w:val="24"/>
          <w:lang w:val="es-CO"/>
        </w:rPr>
        <w:t xml:space="preserve"> También se observa agotamiento, falta de disposición para reconocer daños, y escasa adherencia y compromiso por parte del ofensor. </w:t>
      </w:r>
      <w:r w:rsidRPr="35B2FBC5" w:rsidR="1ABBCF78">
        <w:rPr>
          <w:rFonts w:ascii="Arial" w:hAnsi="Arial" w:eastAsia="Arial" w:cs="Arial"/>
          <w:noProof w:val="0"/>
          <w:color w:val="000000" w:themeColor="text1" w:themeTint="FF" w:themeShade="FF"/>
          <w:sz w:val="24"/>
          <w:szCs w:val="24"/>
          <w:lang w:val="es-CO"/>
        </w:rPr>
        <w:t>La presencia de diagnósticos de salud mental, dificultades en la empatía y el consumo de sustancias psicoactivas (SPA) agravan la situación, mientras que la reincidencia delictiva y la falta de interés por parte de las partes implicadas obstaculizan aún más el progreso en el proceso restaurativo.</w:t>
      </w:r>
    </w:p>
    <w:p w:rsidR="0DB83912" w:rsidP="35B2FBC5" w:rsidRDefault="0DB83912" w14:paraId="495B0D2C" w14:textId="07CBDFE4">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18E87855">
        <w:rPr>
          <w:rFonts w:ascii="Arial" w:hAnsi="Arial" w:eastAsia="Arial" w:cs="Arial"/>
          <w:noProof w:val="0"/>
          <w:sz w:val="24"/>
          <w:szCs w:val="24"/>
          <w:lang w:val="es-CO"/>
        </w:rPr>
        <w:t>Uno de los elementos clave a considerar en la fase de valoración es la presencia de distorsiones cognitivas en las personas vinculadas a situaciones de VIF. Desde la experiencia del PDJJR, se ha identificado que estas distorsiones están presentes en diversos casos. En los ofensores, los profesionales han detectado ideas irracionales como la minimización del comportamiento violento, la culpabilización de factores externos, la negación, la justificación y la despersonalización, entendida como la incapacidad de reconocer a la víctima como una persona con derechos, viéndola en cambio como un objeto o una extensión de sí mismos. Por parte de las víctimas, se han observado distorsiones como la inflexibilidad cognitiva, la magnificación de los hechos, la culpa, un autoconcepto deteriorado y una esperanza de cambio excesiva hacia el ofensor.</w:t>
      </w:r>
    </w:p>
    <w:p w:rsidR="71145355" w:rsidP="35B2FBC5" w:rsidRDefault="71145355" w14:paraId="29E52186" w14:textId="2B3B7FA8">
      <w:pPr>
        <w:pStyle w:val="Normal"/>
        <w:spacing w:before="0" w:beforeAutospacing="off" w:after="0" w:afterAutospacing="off" w:line="480" w:lineRule="auto"/>
        <w:ind w:firstLine="709"/>
        <w:jc w:val="both"/>
        <w:rPr>
          <w:rFonts w:ascii="Arial" w:hAnsi="Arial" w:eastAsia="Arial" w:cs="Arial"/>
          <w:noProof w:val="0"/>
          <w:color w:val="000000" w:themeColor="text1" w:themeTint="FF" w:themeShade="FF"/>
          <w:sz w:val="24"/>
          <w:szCs w:val="24"/>
          <w:lang w:val="es-CO"/>
        </w:rPr>
      </w:pPr>
      <w:r w:rsidRPr="35B2FBC5" w:rsidR="18E87855">
        <w:rPr>
          <w:rFonts w:ascii="Arial" w:hAnsi="Arial" w:eastAsia="Arial" w:cs="Arial"/>
          <w:noProof w:val="0"/>
          <w:color w:val="000000" w:themeColor="text1" w:themeTint="FF" w:themeShade="FF"/>
          <w:sz w:val="24"/>
          <w:szCs w:val="24"/>
          <w:lang w:val="es-CO"/>
        </w:rPr>
        <w:t xml:space="preserve">Finalmente, Abordar la violencia intrafamiliar desde un enfoque restaurativo con ofensores implica una intervención integral que considera múltiples elementos esenciales. En primer lugar, es crucial facilitar atenciones familiares donde todas las partes puedan expresar sus emociones y pensamientos de manera sincera y respetuosa. Las intervenciones deben estructurarse en torno a atenciones individuales, familiares y grupales, centrándose en ejes temáticos como la subjetividad y el razonamiento sobre la violencia, habilidades emocionales y sociales, el ciclo de la violencia, y la resolución de conflictos. Validar las historias de vida y las emociones de los adolescentes, así como abordar temas de género y micromachismos, es fundamental para fomentar una comunicación asertiva. </w:t>
      </w:r>
    </w:p>
    <w:p w:rsidR="71145355" w:rsidP="35B2FBC5" w:rsidRDefault="71145355" w14:paraId="04268D25" w14:textId="543A42D6">
      <w:pPr>
        <w:spacing w:before="0" w:beforeAutospacing="off" w:after="0" w:afterAutospacing="off" w:line="480" w:lineRule="auto"/>
        <w:ind w:firstLine="708"/>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 xml:space="preserve">Asimismo, es vital fortalecer redes de apoyo y realizar intervenciones en el lugar de vivienda, resignificando espacios y estableciendo límites claros. Se sugiere un periodo de intervención de 10 meses, seguido de 6 meses de seguimiento, lo que permite que las familias soliciten orientación adicional cuando lo necesiten, incluso tras el cierre del proceso. Este enfoque favorece una mayor </w:t>
      </w:r>
      <w:r w:rsidRPr="35B2FBC5" w:rsidR="1ABBCF78">
        <w:rPr>
          <w:rFonts w:ascii="Arial" w:hAnsi="Arial" w:eastAsia="Arial" w:cs="Arial"/>
          <w:noProof w:val="0"/>
          <w:color w:val="000000" w:themeColor="text1" w:themeTint="FF" w:themeShade="FF"/>
          <w:sz w:val="24"/>
          <w:szCs w:val="24"/>
          <w:lang w:val="es-CO"/>
        </w:rPr>
        <w:t>adherencia</w:t>
      </w:r>
      <w:r w:rsidRPr="35B2FBC5" w:rsidR="1ABBCF78">
        <w:rPr>
          <w:rFonts w:ascii="Arial" w:hAnsi="Arial" w:eastAsia="Arial" w:cs="Arial"/>
          <w:noProof w:val="0"/>
          <w:color w:val="000000" w:themeColor="text1" w:themeTint="FF" w:themeShade="FF"/>
          <w:sz w:val="24"/>
          <w:szCs w:val="24"/>
          <w:lang w:val="es-CO"/>
        </w:rPr>
        <w:t xml:space="preserve"> de las partes involucradas, y la flexibilidad en los horarios de atención es esencial, especialmente para quienes trabajan. Así, se construye un camino </w:t>
      </w:r>
      <w:r w:rsidRPr="35B2FBC5" w:rsidR="1ABBCF78">
        <w:rPr>
          <w:rFonts w:ascii="Arial" w:hAnsi="Arial" w:eastAsia="Arial" w:cs="Arial"/>
          <w:noProof w:val="0"/>
          <w:color w:val="000000" w:themeColor="text1" w:themeTint="FF" w:themeShade="FF"/>
          <w:sz w:val="24"/>
          <w:szCs w:val="24"/>
          <w:lang w:val="es-CO"/>
        </w:rPr>
        <w:t>hacia una vida libre de violencia y un bienestar familiar duradero.</w:t>
      </w:r>
    </w:p>
    <w:p w:rsidR="3456AD69" w:rsidP="35B2FBC5" w:rsidRDefault="3456AD69" w14:paraId="0D35EE0D" w14:textId="59E488C9">
      <w:pPr>
        <w:pStyle w:val="Normal"/>
        <w:spacing w:before="0" w:beforeAutospacing="off" w:after="0" w:afterAutospacing="off" w:line="480" w:lineRule="auto"/>
        <w:ind w:firstLine="708"/>
        <w:jc w:val="both"/>
        <w:rPr>
          <w:rFonts w:ascii="Arial" w:hAnsi="Arial" w:eastAsia="Arial" w:cs="Arial"/>
          <w:noProof w:val="0"/>
          <w:color w:val="000000" w:themeColor="text1" w:themeTint="FF" w:themeShade="FF"/>
          <w:sz w:val="24"/>
          <w:szCs w:val="24"/>
          <w:lang w:val="es-CO"/>
        </w:rPr>
      </w:pPr>
      <w:r w:rsidRPr="665314E2" w:rsidR="3456AD69">
        <w:rPr>
          <w:rFonts w:ascii="Arial" w:hAnsi="Arial" w:eastAsia="Arial" w:cs="Arial"/>
          <w:noProof w:val="0"/>
          <w:color w:val="000000" w:themeColor="text1" w:themeTint="FF" w:themeShade="FF"/>
          <w:sz w:val="24"/>
          <w:szCs w:val="24"/>
          <w:lang w:val="es-CO"/>
        </w:rPr>
        <w:t xml:space="preserve">En cuanto a la </w:t>
      </w:r>
      <w:r w:rsidRPr="665314E2" w:rsidR="2BDA0230">
        <w:rPr>
          <w:rFonts w:ascii="Arial" w:hAnsi="Arial" w:eastAsia="Arial" w:cs="Arial"/>
          <w:noProof w:val="0"/>
          <w:color w:val="000000" w:themeColor="text1" w:themeTint="FF" w:themeShade="FF"/>
          <w:sz w:val="24"/>
          <w:szCs w:val="24"/>
          <w:lang w:val="es-CO"/>
        </w:rPr>
        <w:t>adherencia</w:t>
      </w:r>
      <w:r w:rsidRPr="665314E2" w:rsidR="3456AD69">
        <w:rPr>
          <w:rFonts w:ascii="Arial" w:hAnsi="Arial" w:eastAsia="Arial" w:cs="Arial"/>
          <w:noProof w:val="0"/>
          <w:color w:val="000000" w:themeColor="text1" w:themeTint="FF" w:themeShade="FF"/>
          <w:sz w:val="24"/>
          <w:szCs w:val="24"/>
          <w:lang w:val="es-CO"/>
        </w:rPr>
        <w:t xml:space="preserve"> a los procesos, </w:t>
      </w:r>
      <w:r w:rsidRPr="665314E2" w:rsidR="3456AD69">
        <w:rPr>
          <w:rFonts w:ascii="Arial" w:hAnsi="Arial" w:eastAsia="Arial" w:cs="Arial"/>
          <w:noProof w:val="0"/>
          <w:color w:val="000000" w:themeColor="text1" w:themeTint="FF" w:themeShade="FF"/>
          <w:sz w:val="24"/>
          <w:szCs w:val="24"/>
          <w:lang w:val="en-US"/>
        </w:rPr>
        <w:t xml:space="preserve">Venables, J., Young, A., O’Leary, P., &amp; </w:t>
      </w:r>
      <w:r w:rsidRPr="665314E2" w:rsidR="3456AD69">
        <w:rPr>
          <w:rFonts w:ascii="Arial" w:hAnsi="Arial" w:eastAsia="Arial" w:cs="Arial"/>
          <w:noProof w:val="0"/>
          <w:sz w:val="24"/>
          <w:szCs w:val="24"/>
          <w:lang w:val="en-US"/>
        </w:rPr>
        <w:t>Dragiewicz</w:t>
      </w:r>
      <w:r w:rsidRPr="665314E2" w:rsidR="3456AD69">
        <w:rPr>
          <w:rFonts w:ascii="Arial" w:hAnsi="Arial" w:eastAsia="Arial" w:cs="Arial"/>
          <w:noProof w:val="0"/>
          <w:sz w:val="24"/>
          <w:szCs w:val="24"/>
          <w:lang w:val="en-US"/>
        </w:rPr>
        <w:t>, M</w:t>
      </w:r>
      <w:r w:rsidRPr="665314E2" w:rsidR="3456AD69">
        <w:rPr>
          <w:rFonts w:ascii="Arial" w:hAnsi="Arial" w:eastAsia="Arial" w:cs="Arial"/>
          <w:b w:val="1"/>
          <w:bCs w:val="1"/>
          <w:noProof w:val="0"/>
          <w:sz w:val="24"/>
          <w:szCs w:val="24"/>
          <w:lang w:val="en-US"/>
        </w:rPr>
        <w:t>.</w:t>
      </w:r>
      <w:r w:rsidRPr="665314E2" w:rsidR="3456AD69">
        <w:rPr>
          <w:rFonts w:ascii="Arial" w:hAnsi="Arial" w:eastAsia="Arial" w:cs="Arial"/>
          <w:noProof w:val="0"/>
          <w:sz w:val="24"/>
          <w:szCs w:val="24"/>
          <w:lang w:val="en-US"/>
        </w:rPr>
        <w:t>, (2025</w:t>
      </w:r>
      <w:r w:rsidRPr="665314E2" w:rsidR="3456AD69">
        <w:rPr>
          <w:rFonts w:ascii="Arial" w:hAnsi="Arial" w:eastAsia="Arial" w:cs="Arial"/>
          <w:noProof w:val="0"/>
          <w:color w:val="000000" w:themeColor="text1" w:themeTint="FF" w:themeShade="FF"/>
          <w:sz w:val="24"/>
          <w:szCs w:val="24"/>
          <w:lang w:val="es-CO"/>
        </w:rPr>
        <w:t xml:space="preserve">) encontraron que las visitas domiciliarias y las intervenciones grupales aumentaron el compromiso hacia el proceso, es por esto </w:t>
      </w:r>
      <w:r w:rsidRPr="665314E2" w:rsidR="3456AD69">
        <w:rPr>
          <w:rFonts w:ascii="Arial" w:hAnsi="Arial" w:eastAsia="Arial" w:cs="Arial"/>
          <w:noProof w:val="0"/>
          <w:color w:val="000000" w:themeColor="text1" w:themeTint="FF" w:themeShade="FF"/>
          <w:sz w:val="24"/>
          <w:szCs w:val="24"/>
          <w:lang w:val="es-CO"/>
        </w:rPr>
        <w:t>que</w:t>
      </w:r>
      <w:r w:rsidRPr="665314E2" w:rsidR="3456AD69">
        <w:rPr>
          <w:rFonts w:ascii="Arial" w:hAnsi="Arial" w:eastAsia="Arial" w:cs="Arial"/>
          <w:noProof w:val="0"/>
          <w:color w:val="000000" w:themeColor="text1" w:themeTint="FF" w:themeShade="FF"/>
          <w:sz w:val="24"/>
          <w:szCs w:val="24"/>
          <w:lang w:val="es-CO"/>
        </w:rPr>
        <w:t xml:space="preserve"> se considera </w:t>
      </w:r>
      <w:r w:rsidRPr="665314E2" w:rsidR="538088C5">
        <w:rPr>
          <w:rFonts w:ascii="Arial" w:hAnsi="Arial" w:eastAsia="Arial" w:cs="Arial"/>
          <w:noProof w:val="0"/>
          <w:color w:val="000000" w:themeColor="text1" w:themeTint="FF" w:themeShade="FF"/>
          <w:sz w:val="24"/>
          <w:szCs w:val="24"/>
          <w:lang w:val="es-CO"/>
        </w:rPr>
        <w:t>relevante</w:t>
      </w:r>
      <w:r w:rsidRPr="665314E2" w:rsidR="3456AD69">
        <w:rPr>
          <w:rFonts w:ascii="Arial" w:hAnsi="Arial" w:eastAsia="Arial" w:cs="Arial"/>
          <w:noProof w:val="0"/>
          <w:color w:val="000000" w:themeColor="text1" w:themeTint="FF" w:themeShade="FF"/>
          <w:sz w:val="24"/>
          <w:szCs w:val="24"/>
          <w:lang w:val="es-CO"/>
        </w:rPr>
        <w:t xml:space="preserve"> trabajar de manera tanto individual como grupal y familiar y que en la fase de valoraci</w:t>
      </w:r>
      <w:r w:rsidRPr="665314E2" w:rsidR="1CECF75E">
        <w:rPr>
          <w:rFonts w:ascii="Arial" w:hAnsi="Arial" w:eastAsia="Arial" w:cs="Arial"/>
          <w:noProof w:val="0"/>
          <w:color w:val="000000" w:themeColor="text1" w:themeTint="FF" w:themeShade="FF"/>
          <w:sz w:val="24"/>
          <w:szCs w:val="24"/>
          <w:lang w:val="es-CO"/>
        </w:rPr>
        <w:t>ón se realicen visitas domiciliarias que permitan comprender de mejor manera las dinámicas y espacios de las familias.</w:t>
      </w:r>
    </w:p>
    <w:p w:rsidR="71145355" w:rsidP="665314E2" w:rsidRDefault="71145355" w14:paraId="6C79F900" w14:textId="1B82FCDA">
      <w:pPr>
        <w:spacing w:before="0" w:beforeAutospacing="off" w:after="0" w:afterAutospacing="off" w:line="480" w:lineRule="auto"/>
        <w:jc w:val="both"/>
        <w:rPr>
          <w:rFonts w:ascii="Arial" w:hAnsi="Arial" w:eastAsia="Arial" w:cs="Arial"/>
          <w:noProof w:val="0"/>
          <w:color w:val="000000" w:themeColor="text1" w:themeTint="FF" w:themeShade="FF"/>
          <w:sz w:val="24"/>
          <w:szCs w:val="24"/>
          <w:lang w:val="es-CO"/>
        </w:rPr>
      </w:pPr>
    </w:p>
    <w:p w:rsidR="71145355" w:rsidP="35B2FBC5" w:rsidRDefault="71145355" w14:paraId="7EEF8F4E" w14:textId="4999C071">
      <w:pPr>
        <w:pStyle w:val="Normal"/>
        <w:spacing w:before="0" w:beforeAutospacing="off" w:after="0" w:afterAutospacing="off" w:line="480" w:lineRule="auto"/>
        <w:ind w:left="1416" w:right="0" w:hanging="0"/>
        <w:jc w:val="both"/>
        <w:rPr>
          <w:rFonts w:ascii="Arial" w:hAnsi="Arial" w:eastAsia="Arial" w:cs="Arial"/>
          <w:b w:val="1"/>
          <w:bCs w:val="1"/>
          <w:noProof w:val="0"/>
          <w:color w:val="000000" w:themeColor="text1" w:themeTint="FF" w:themeShade="FF"/>
          <w:sz w:val="24"/>
          <w:szCs w:val="24"/>
          <w:lang w:val="es-CO"/>
        </w:rPr>
      </w:pPr>
      <w:r w:rsidRPr="2E7BCFCA" w:rsidR="1ABBCF78">
        <w:rPr>
          <w:rFonts w:ascii="Arial" w:hAnsi="Arial" w:eastAsia="Arial" w:cs="Arial"/>
          <w:b w:val="1"/>
          <w:bCs w:val="1"/>
          <w:noProof w:val="0"/>
          <w:color w:val="000000" w:themeColor="text1" w:themeTint="FF" w:themeShade="FF"/>
          <w:sz w:val="24"/>
          <w:szCs w:val="24"/>
          <w:lang w:val="es-CO"/>
        </w:rPr>
        <w:t xml:space="preserve">Programas </w:t>
      </w:r>
      <w:r w:rsidRPr="2E7BCFCA" w:rsidR="102E9622">
        <w:rPr>
          <w:rFonts w:ascii="Arial" w:hAnsi="Arial" w:eastAsia="Arial" w:cs="Arial"/>
          <w:b w:val="1"/>
          <w:bCs w:val="1"/>
          <w:noProof w:val="0"/>
          <w:color w:val="000000" w:themeColor="text1" w:themeTint="FF" w:themeShade="FF"/>
          <w:sz w:val="24"/>
          <w:szCs w:val="24"/>
          <w:lang w:val="es-CO"/>
        </w:rPr>
        <w:t>de intervención desde la JR</w:t>
      </w:r>
    </w:p>
    <w:p w:rsidR="2E7BCFCA" w:rsidP="2E7BCFCA" w:rsidRDefault="2E7BCFCA" w14:paraId="1C9E5358" w14:textId="5DE2F3B1">
      <w:pPr>
        <w:pStyle w:val="Normal"/>
        <w:spacing w:before="0" w:beforeAutospacing="off" w:after="0" w:afterAutospacing="off" w:line="480" w:lineRule="auto"/>
        <w:ind w:left="1416" w:right="0" w:hanging="0"/>
        <w:jc w:val="both"/>
        <w:rPr>
          <w:rFonts w:ascii="Arial" w:hAnsi="Arial" w:eastAsia="Arial" w:cs="Arial"/>
          <w:b w:val="1"/>
          <w:bCs w:val="1"/>
          <w:noProof w:val="0"/>
          <w:color w:val="000000" w:themeColor="text1" w:themeTint="FF" w:themeShade="FF"/>
          <w:sz w:val="24"/>
          <w:szCs w:val="24"/>
          <w:lang w:val="es-CO"/>
        </w:rPr>
      </w:pPr>
    </w:p>
    <w:p w:rsidR="71145355" w:rsidP="35B2FBC5" w:rsidRDefault="71145355" w14:paraId="5DEEB049" w14:textId="7CE1100E">
      <w:pPr>
        <w:spacing w:before="0" w:beforeAutospacing="off" w:after="0" w:afterAutospacing="off" w:line="480" w:lineRule="auto"/>
        <w:jc w:val="both"/>
      </w:pPr>
      <w:r w:rsidRPr="35B2FBC5" w:rsidR="1ABBCF78">
        <w:rPr>
          <w:rFonts w:ascii="Arial" w:hAnsi="Arial" w:eastAsia="Arial" w:cs="Arial"/>
          <w:noProof w:val="0"/>
          <w:color w:val="000000" w:themeColor="text1" w:themeTint="FF" w:themeShade="FF"/>
          <w:sz w:val="24"/>
          <w:szCs w:val="24"/>
          <w:lang w:val="es-CO"/>
        </w:rPr>
        <w:t xml:space="preserve">En este contexto, la complejidad de la violencia intrafamiliar y la particularidad de su manifestación en adolescentes ofensores resaltan la necesidad de desarrollar e implementar programas de intervención efectivos que aborden esta problemática de manera integral. La literatura sugiere que es crucial no solo atender a las víctimas, sino también ofrecer apoyo a los agresores, promoviendo así un cambio en las dinámicas familiares y sociales. Por lo tanto, se hace imprescindible investigar y evaluar programas, con el fin de romper el ciclo de violencia. </w:t>
      </w:r>
    </w:p>
    <w:p w:rsidR="71145355" w:rsidP="35B2FBC5" w:rsidRDefault="71145355" w14:paraId="01BFB73E" w14:textId="0E5A2BB0">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Una revisión sistemática de la literatura llevada a cabo por Rodríguez et al.</w:t>
      </w:r>
      <w:r w:rsidRPr="35B2FBC5" w:rsidR="1ABBCF78">
        <w:rPr>
          <w:rFonts w:ascii="Arial" w:hAnsi="Arial" w:eastAsia="Arial" w:cs="Arial"/>
          <w:noProof w:val="0"/>
          <w:color w:val="000000" w:themeColor="text1" w:themeTint="FF" w:themeShade="FF"/>
          <w:sz w:val="24"/>
          <w:szCs w:val="24"/>
          <w:lang w:val="es-CO"/>
        </w:rPr>
        <w:t xml:space="preserve"> (2024) en Colombia, sobre programas de intervención dirigidos a adolescentes que han cometido delitos, se concluye que es fundamental abordar las conductas antisociales desde una perspectiva preventiva. En este sentido, los enfoques tradicionales, como el encarcelamiento, han demostrado ser ineficaces y, además, pueden agravar los problemas de salud mental en los jóvenes. Por lo tanto, se hace necesario implementar programas de intervención que se centren en el desarrollo de habilidades sociales y competencias emocionales. Estas intervenciones deben aprovechar las fortalezas existentes de los adolescentes y fomentar nuevas capacidades que promuevan su bienestar. </w:t>
      </w:r>
    </w:p>
    <w:p w:rsidR="71145355" w:rsidP="35B2FBC5" w:rsidRDefault="71145355" w14:paraId="3E30B9BF" w14:textId="10E07608">
      <w:pPr>
        <w:spacing w:before="0" w:beforeAutospacing="off" w:after="0" w:afterAutospacing="off" w:line="480" w:lineRule="auto"/>
        <w:ind w:firstLine="708"/>
        <w:jc w:val="both"/>
      </w:pPr>
      <w:r w:rsidRPr="35B2FBC5" w:rsidR="4AFF18EE">
        <w:rPr>
          <w:rFonts w:ascii="Arial" w:hAnsi="Arial" w:eastAsia="Arial" w:cs="Arial"/>
          <w:noProof w:val="0"/>
          <w:color w:val="000000" w:themeColor="text1" w:themeTint="FF" w:themeShade="FF"/>
          <w:sz w:val="24"/>
          <w:szCs w:val="24"/>
          <w:lang w:val="es-CO"/>
        </w:rPr>
        <w:t xml:space="preserve">Adicionalmente, se han desarrollado diversos programas que emplean técnicas de psicología del aprendizaje y terapia conductual para abordar las conductas antisociales. Estos programas son cruciales para prevenir los factores ambientales que contribuyen a la delincuencia y para ayudar a los adolescentes a adquirir habilidades que les permitan gestionar sus emociones y </w:t>
      </w:r>
      <w:r w:rsidRPr="35B2FBC5" w:rsidR="4AFF18EE">
        <w:rPr>
          <w:rFonts w:ascii="Arial" w:hAnsi="Arial" w:eastAsia="Arial" w:cs="Arial"/>
          <w:noProof w:val="0"/>
          <w:color w:val="000000" w:themeColor="text1" w:themeTint="FF" w:themeShade="FF"/>
          <w:sz w:val="24"/>
          <w:szCs w:val="24"/>
          <w:lang w:val="es-CO"/>
        </w:rPr>
        <w:t>relacionarce</w:t>
      </w:r>
      <w:r w:rsidRPr="35B2FBC5" w:rsidR="4AFF18EE">
        <w:rPr>
          <w:rFonts w:ascii="Arial" w:hAnsi="Arial" w:eastAsia="Arial" w:cs="Arial"/>
          <w:noProof w:val="0"/>
          <w:color w:val="000000" w:themeColor="text1" w:themeTint="FF" w:themeShade="FF"/>
          <w:sz w:val="24"/>
          <w:szCs w:val="24"/>
          <w:lang w:val="es-CO"/>
        </w:rPr>
        <w:t xml:space="preserve"> de manera más efectiva. En este contexto, la revisión sistemática de la literatura, utilizando el método PRISMA, busca analizar estos programas de intervención para su aplicación en el tratamiento de conductas delictivas en adolescentes. De esta manera, se resalta la necesidad de adoptar un enfoque integral que considere tanto factores individuales como contextuales.</w:t>
      </w:r>
      <w:r w:rsidRPr="35B2FBC5" w:rsidR="4AFF18EE">
        <w:rPr>
          <w:rFonts w:ascii="Arial" w:hAnsi="Arial" w:eastAsia="Arial" w:cs="Arial"/>
          <w:noProof w:val="0"/>
          <w:color w:val="000000" w:themeColor="text1" w:themeTint="FF" w:themeShade="FF"/>
          <w:sz w:val="24"/>
          <w:szCs w:val="24"/>
          <w:lang w:val="es-CO"/>
        </w:rPr>
        <w:t xml:space="preserve"> </w:t>
      </w:r>
    </w:p>
    <w:p w:rsidR="71145355" w:rsidP="35B2FBC5" w:rsidRDefault="71145355" w14:paraId="346637E0" w14:textId="0CAA993D">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Así mismo, en el ámbito de la intervención con adolescentes en riesgo, diversos programas han mostrado resultados alentadores en el manejo de conductas delictivas y comportamientos de riesgo.</w:t>
      </w:r>
      <w:r w:rsidRPr="35B2FBC5" w:rsidR="1ABBCF78">
        <w:rPr>
          <w:rFonts w:ascii="Arial" w:hAnsi="Arial" w:eastAsia="Arial" w:cs="Arial"/>
          <w:noProof w:val="0"/>
          <w:color w:val="000000" w:themeColor="text1" w:themeTint="FF" w:themeShade="FF"/>
          <w:sz w:val="24"/>
          <w:szCs w:val="24"/>
          <w:lang w:val="es-CO"/>
        </w:rPr>
        <w:t xml:space="preserve"> En este contexto, Vermeulen et al. (2017), quien escribe en la Criminal </w:t>
      </w:r>
      <w:r w:rsidRPr="35B2FBC5" w:rsidR="1ABBCF78">
        <w:rPr>
          <w:rFonts w:ascii="Arial" w:hAnsi="Arial" w:eastAsia="Arial" w:cs="Arial"/>
          <w:noProof w:val="0"/>
          <w:color w:val="000000" w:themeColor="text1" w:themeTint="FF" w:themeShade="FF"/>
          <w:sz w:val="24"/>
          <w:szCs w:val="24"/>
          <w:lang w:val="es-CO"/>
        </w:rPr>
        <w:t>Behaviour</w:t>
      </w:r>
      <w:r w:rsidRPr="35B2FBC5" w:rsidR="1ABBCF78">
        <w:rPr>
          <w:rFonts w:ascii="Arial" w:hAnsi="Arial" w:eastAsia="Arial" w:cs="Arial"/>
          <w:noProof w:val="0"/>
          <w:color w:val="000000" w:themeColor="text1" w:themeTint="FF" w:themeShade="FF"/>
          <w:sz w:val="24"/>
          <w:szCs w:val="24"/>
          <w:lang w:val="es-CO"/>
        </w:rPr>
        <w:t xml:space="preserve"> and Mental </w:t>
      </w:r>
      <w:r w:rsidRPr="35B2FBC5" w:rsidR="1ABBCF78">
        <w:rPr>
          <w:rFonts w:ascii="Arial" w:hAnsi="Arial" w:eastAsia="Arial" w:cs="Arial"/>
          <w:noProof w:val="0"/>
          <w:color w:val="000000" w:themeColor="text1" w:themeTint="FF" w:themeShade="FF"/>
          <w:sz w:val="24"/>
          <w:szCs w:val="24"/>
          <w:lang w:val="es-CO"/>
        </w:rPr>
        <w:t>Health</w:t>
      </w:r>
      <w:r w:rsidRPr="35B2FBC5" w:rsidR="1ABBCF78">
        <w:rPr>
          <w:rFonts w:ascii="Arial" w:hAnsi="Arial" w:eastAsia="Arial" w:cs="Arial"/>
          <w:noProof w:val="0"/>
          <w:color w:val="000000" w:themeColor="text1" w:themeTint="FF" w:themeShade="FF"/>
          <w:sz w:val="24"/>
          <w:szCs w:val="24"/>
          <w:lang w:val="es-CO"/>
        </w:rPr>
        <w:t xml:space="preserve"> una revista académica internacional que se centra en la intersección entre el comportamiento criminal y la salud mental. La revista está basada en el Reino Unido y tiene un enfoque global. Dicho autor examina la eficacia y los costos de la Terapia Multisistémica (MST) en comparación con el tratamiento estándar (TAU) en adolescentes en riesgo. Ambos grupos eran demográficamente comparables; sin embargo, no se observaron mejoras significativas en la calidad de vida, la reducción de la agresión o la delincuencia en ninguno de ellos. A pesar de esto, la terapia MST presentó costos más bajos al finalizar la </w:t>
      </w:r>
      <w:r w:rsidRPr="35B2FBC5" w:rsidR="04B624EE">
        <w:rPr>
          <w:rFonts w:ascii="Arial" w:hAnsi="Arial" w:eastAsia="Arial" w:cs="Arial"/>
          <w:noProof w:val="0"/>
          <w:color w:val="000000" w:themeColor="text1" w:themeTint="FF" w:themeShade="FF"/>
          <w:sz w:val="24"/>
          <w:szCs w:val="24"/>
          <w:lang w:val="es-CO"/>
        </w:rPr>
        <w:t>intervención</w:t>
      </w:r>
      <w:r w:rsidRPr="35B2FBC5" w:rsidR="04B624EE">
        <w:rPr>
          <w:rFonts w:ascii="Arial" w:hAnsi="Arial" w:eastAsia="Arial" w:cs="Arial"/>
          <w:noProof w:val="0"/>
          <w:color w:val="000000" w:themeColor="text1" w:themeTint="FF" w:themeShade="FF"/>
          <w:sz w:val="24"/>
          <w:szCs w:val="24"/>
          <w:lang w:val="es-CO"/>
        </w:rPr>
        <w:t xml:space="preserve">, </w:t>
      </w:r>
      <w:r w:rsidRPr="35B2FBC5" w:rsidR="04B624EE">
        <w:rPr>
          <w:rFonts w:ascii="Arial" w:hAnsi="Arial" w:eastAsia="Arial" w:cs="Arial"/>
          <w:noProof w:val="0"/>
          <w:color w:val="000000" w:themeColor="text1" w:themeTint="FF" w:themeShade="FF"/>
          <w:sz w:val="24"/>
          <w:szCs w:val="24"/>
          <w:lang w:val="es-CO"/>
        </w:rPr>
        <w:t>l</w:t>
      </w:r>
      <w:r w:rsidRPr="35B2FBC5" w:rsidR="1ABBCF78">
        <w:rPr>
          <w:rFonts w:ascii="Arial" w:hAnsi="Arial" w:eastAsia="Arial" w:cs="Arial"/>
          <w:noProof w:val="0"/>
          <w:color w:val="000000" w:themeColor="text1" w:themeTint="FF" w:themeShade="FF"/>
          <w:sz w:val="24"/>
          <w:szCs w:val="24"/>
          <w:lang w:val="es-CO"/>
        </w:rPr>
        <w:t xml:space="preserve">os análisis sugieren que MST podría ser más coste-efectiva, proporcionando ahorros junto con mejoras en la calidad de vida. </w:t>
      </w:r>
    </w:p>
    <w:p w:rsidR="71145355" w:rsidP="35B2FBC5" w:rsidRDefault="71145355" w14:paraId="2CADADE4" w14:textId="60C59EE3">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Por otro lado, Rodríguez et al. (2024) también hacen referencia al estudio de </w:t>
      </w:r>
      <w:r w:rsidRPr="35B2FBC5" w:rsidR="1ABBCF78">
        <w:rPr>
          <w:rFonts w:ascii="Arial" w:hAnsi="Arial" w:eastAsia="Arial" w:cs="Arial"/>
          <w:noProof w:val="0"/>
          <w:color w:val="000000" w:themeColor="text1" w:themeTint="FF" w:themeShade="FF"/>
          <w:sz w:val="24"/>
          <w:szCs w:val="24"/>
          <w:lang w:val="es-CO"/>
        </w:rPr>
        <w:t>Humayun</w:t>
      </w:r>
      <w:r w:rsidRPr="35B2FBC5" w:rsidR="1ABBCF78">
        <w:rPr>
          <w:rFonts w:ascii="Arial" w:hAnsi="Arial" w:eastAsia="Arial" w:cs="Arial"/>
          <w:noProof w:val="0"/>
          <w:color w:val="000000" w:themeColor="text1" w:themeTint="FF" w:themeShade="FF"/>
          <w:sz w:val="24"/>
          <w:szCs w:val="24"/>
          <w:lang w:val="es-CO"/>
        </w:rPr>
        <w:t xml:space="preserve"> et al. (2017), que evaluó la eficacia de la Terapia Familiar Funcional (FFT) en la reducción de conductas delictivas y antisociales en adolescentes. Aunque ambos grupos mostraron una notable disminución en el comportamiento delictivo a lo largo del tiempo, no se encontraron diferencias significativas entre el grupo de intervención y el grupo de control en áreas críticas como la delincuencia auto informada, los registros policiales, los síntomas de Trastorno de Conducta y la supervisión parental. Curiosamente, el grupo de intervención presentó niveles más bajos de comportamiento positivo a los 18 meses, lo que resalta la necesidad de una evaluación más profunda de la efectividad y la implementación a largo plazo de la FFT. </w:t>
      </w:r>
    </w:p>
    <w:p w:rsidR="71145355" w:rsidP="35B2FBC5" w:rsidRDefault="71145355" w14:paraId="44CC5DF3" w14:textId="31448CD2">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Adicionalmente, Rodríguez et al. (2024) citan el estudio de Kendall et al. (2017), que evaluó un programa psicosocial de dos semanas destinado a jóvenes delincuentes con un historial de agresión significativa. Esta intervención demostró reducir de manera significativa la agresión futura y las tasas de reincidencia en comparación con un grupo de control. Los participantes del grupo de intervención tenían aproximadamente cuatro veces menos probabilidades de ser encarcelados. No obstante, se subraya la necesidad de implementar estrategias para mantener los beneficios a largo plazo.</w:t>
      </w:r>
    </w:p>
    <w:p w:rsidR="71145355" w:rsidP="35B2FBC5" w:rsidRDefault="71145355" w14:paraId="1E0BFB52" w14:textId="688C5D5E">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Asimismo, Rodríguez et al. (2024) mencionan el estudio de </w:t>
      </w:r>
      <w:r w:rsidRPr="35B2FBC5" w:rsidR="1ABBCF78">
        <w:rPr>
          <w:rFonts w:ascii="Arial" w:hAnsi="Arial" w:eastAsia="Arial" w:cs="Arial"/>
          <w:noProof w:val="0"/>
          <w:color w:val="000000" w:themeColor="text1" w:themeTint="FF" w:themeShade="FF"/>
          <w:sz w:val="24"/>
          <w:szCs w:val="24"/>
          <w:lang w:val="es-CO"/>
        </w:rPr>
        <w:t>Asscher</w:t>
      </w:r>
      <w:r w:rsidRPr="35B2FBC5" w:rsidR="1ABBCF78">
        <w:rPr>
          <w:rFonts w:ascii="Arial" w:hAnsi="Arial" w:eastAsia="Arial" w:cs="Arial"/>
          <w:noProof w:val="0"/>
          <w:color w:val="000000" w:themeColor="text1" w:themeTint="FF" w:themeShade="FF"/>
          <w:sz w:val="24"/>
          <w:szCs w:val="24"/>
          <w:lang w:val="es-CO"/>
        </w:rPr>
        <w:t xml:space="preserve"> et al. (2014), que evaluó la sostenibilidad de la Terapia Multisistémica (TMS) en jóvenes con conductas delictivas en los Países Bajos. El estudio incluyó a 256 adolescentes de entre 12 y 18 años, divididos en dos grupos: 147 recibieron TMS y 109 tratamiento convencional (TAU). Las evaluaciones realizadas antes y seis meses después del tratamiento mostraron que no había diferencias significativas en la reincidencia delictiva, la severidad o la frecuencia de arrestos entre los grupos. Aunque se identificaron efectos moderadores relacionados con la etnicidad en los datos del cuestionario, estos no se tradujeron en diferencias significativas en reincidencia entre jóvenes nativos e inmigrantes. Además, no se observaron efectos moderadores basados en género o edad. Los hallazgos sugieren que la TMS mantiene su eficacia en la reducción de la delincuencia juvenil en los Países Bajos, independientemente de estos factores.</w:t>
      </w:r>
    </w:p>
    <w:p w:rsidR="71145355" w:rsidP="35B2FBC5" w:rsidRDefault="71145355" w14:paraId="231B7BF7" w14:textId="08472630">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De acuerdo con Redondo et al. (2012), en los últimos años se han llevado a cabo numerosos </w:t>
      </w:r>
      <w:r w:rsidRPr="35B2FBC5" w:rsidR="3FC8CF0B">
        <w:rPr>
          <w:rFonts w:ascii="Arial" w:hAnsi="Arial" w:eastAsia="Arial" w:cs="Arial"/>
          <w:noProof w:val="0"/>
          <w:color w:val="000000" w:themeColor="text1" w:themeTint="FF" w:themeShade="FF"/>
          <w:sz w:val="24"/>
          <w:szCs w:val="24"/>
          <w:lang w:val="es-CO"/>
        </w:rPr>
        <w:t>metaanálisis</w:t>
      </w:r>
      <w:r w:rsidRPr="35B2FBC5" w:rsidR="1ABBCF78">
        <w:rPr>
          <w:rFonts w:ascii="Arial" w:hAnsi="Arial" w:eastAsia="Arial" w:cs="Arial"/>
          <w:noProof w:val="0"/>
          <w:color w:val="000000" w:themeColor="text1" w:themeTint="FF" w:themeShade="FF"/>
          <w:sz w:val="24"/>
          <w:szCs w:val="24"/>
          <w:lang w:val="es-CO"/>
        </w:rPr>
        <w:t xml:space="preserve"> sobre la eficacia de tratamientos para delincuentes juveniles en países de Norteamérica y Europa. Estos estudios revelan que dichos tratamientos logran mejoras del 7% al 13% en diversas áreas, incluyendo educación, habilidades sociales y empleo. Sin embargo, la medida más significativa es la reducción en la reincidencia: mientras que los grupos de control presentan una tasa media del 53.5%, en los grupos tratados esta tasa se reduce al 44%, lo que implica un ahorro considerable en la previsión de delitos. Además, el </w:t>
      </w:r>
      <w:r w:rsidRPr="35B2FBC5" w:rsidR="25B0F7F0">
        <w:rPr>
          <w:rFonts w:ascii="Arial" w:hAnsi="Arial" w:eastAsia="Arial" w:cs="Arial"/>
          <w:noProof w:val="0"/>
          <w:color w:val="000000" w:themeColor="text1" w:themeTint="FF" w:themeShade="FF"/>
          <w:sz w:val="24"/>
          <w:szCs w:val="24"/>
          <w:lang w:val="es-CO"/>
        </w:rPr>
        <w:t>metaanálisis</w:t>
      </w:r>
      <w:r w:rsidRPr="35B2FBC5" w:rsidR="1ABBCF78">
        <w:rPr>
          <w:rFonts w:ascii="Arial" w:hAnsi="Arial" w:eastAsia="Arial" w:cs="Arial"/>
          <w:noProof w:val="0"/>
          <w:color w:val="000000" w:themeColor="text1" w:themeTint="FF" w:themeShade="FF"/>
          <w:sz w:val="24"/>
          <w:szCs w:val="24"/>
          <w:lang w:val="es-CO"/>
        </w:rPr>
        <w:t xml:space="preserve"> sobre intervenciones con adolescentes ofensores sugiere que varios factores influyen en su eficacia, siendo el tipo de intervención el que más varianza explica, alcanzando hasta un 21%. </w:t>
      </w:r>
      <w:r w:rsidRPr="35B2FBC5" w:rsidR="1ABBCF78">
        <w:rPr>
          <w:rFonts w:ascii="Arial" w:hAnsi="Arial" w:eastAsia="Arial" w:cs="Arial"/>
          <w:noProof w:val="0"/>
          <w:color w:val="000000" w:themeColor="text1" w:themeTint="FF" w:themeShade="FF"/>
          <w:sz w:val="24"/>
          <w:szCs w:val="24"/>
          <w:lang w:val="es-CO"/>
        </w:rPr>
        <w:t>Los programas más efectivos son aquellos que adoptan enfoques conductuales y cognitivo-conductuales, así como el entrenamiento en habilidades para la vida, las comunidades terapéuticas estructuradas y los programas de derivación a la comunidad.</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4A2F95DD" w14:textId="3C8B86E4">
      <w:pPr>
        <w:spacing w:before="0" w:beforeAutospacing="off" w:after="0" w:afterAutospacing="off" w:line="480" w:lineRule="auto"/>
        <w:ind w:firstLine="708"/>
        <w:jc w:val="both"/>
      </w:pPr>
      <w:r w:rsidRPr="35B2FBC5" w:rsidR="56624914">
        <w:rPr>
          <w:rFonts w:ascii="Arial" w:hAnsi="Arial" w:eastAsia="Arial" w:cs="Arial"/>
          <w:noProof w:val="0"/>
          <w:color w:val="000000" w:themeColor="text1" w:themeTint="FF" w:themeShade="FF"/>
          <w:sz w:val="24"/>
          <w:szCs w:val="24"/>
          <w:lang w:val="es-CO"/>
        </w:rPr>
        <w:t>E</w:t>
      </w:r>
      <w:r w:rsidRPr="35B2FBC5" w:rsidR="1ABBCF78">
        <w:rPr>
          <w:rFonts w:ascii="Arial" w:hAnsi="Arial" w:eastAsia="Arial" w:cs="Arial"/>
          <w:noProof w:val="0"/>
          <w:color w:val="000000" w:themeColor="text1" w:themeTint="FF" w:themeShade="FF"/>
          <w:sz w:val="24"/>
          <w:szCs w:val="24"/>
          <w:lang w:val="es-CO"/>
        </w:rPr>
        <w:t>n contraste, las intervenciones punitivas y los regímenes estrictos tienden a ser ineficaces o incluso contraproducentes. Así, los programas más exitosos son los que enseñan a los jóvenes nuevas formas de pensar y habilidades para la vida. Según los autores, el contexto de aplicación también resulta crucial, ya que los mejores resultados se obtienen de programas comunitarios, como la libertad condicional, en comparación con los institucionales. Dentro de los programas no institucionales, los más eficaces son el entrenamiento en habilidades interpersonales, el asesoramiento individual y los programas conductuales.</w:t>
      </w:r>
    </w:p>
    <w:p w:rsidR="71145355" w:rsidP="35B2FBC5" w:rsidRDefault="71145355" w14:paraId="4A783315" w14:textId="08681C45">
      <w:pPr>
        <w:spacing w:before="0" w:beforeAutospacing="off" w:after="0" w:afterAutospacing="off" w:line="480" w:lineRule="auto"/>
        <w:ind/>
        <w:jc w:val="both"/>
      </w:pPr>
      <w:r w:rsidRPr="35B2FBC5" w:rsidR="1ABBCF78">
        <w:rPr>
          <w:rFonts w:ascii="Arial" w:hAnsi="Arial" w:eastAsia="Arial" w:cs="Arial"/>
          <w:noProof w:val="0"/>
          <w:color w:val="000000" w:themeColor="text1" w:themeTint="FF" w:themeShade="FF"/>
          <w:sz w:val="24"/>
          <w:szCs w:val="24"/>
          <w:lang w:val="es-CO"/>
        </w:rPr>
        <w:t xml:space="preserve"> </w:t>
      </w:r>
      <w:r>
        <w:tab/>
      </w:r>
      <w:r w:rsidRPr="35B2FBC5" w:rsidR="1ABBCF78">
        <w:rPr>
          <w:rFonts w:ascii="Arial" w:hAnsi="Arial" w:eastAsia="Arial" w:cs="Arial"/>
          <w:noProof w:val="0"/>
          <w:color w:val="000000" w:themeColor="text1" w:themeTint="FF" w:themeShade="FF"/>
          <w:sz w:val="24"/>
          <w:szCs w:val="24"/>
          <w:lang w:val="es-CO"/>
        </w:rPr>
        <w:t>Por otra parte, los autores subrayan que, en España, las intervenciones dirigidas a adolescentes infractores y sus familias se clasifican en siete categorías, cada una enfocada en reducir factores de riesgo asociados a la conducta delictiva:</w:t>
      </w:r>
    </w:p>
    <w:p w:rsidR="71145355" w:rsidP="35B2FBC5" w:rsidRDefault="71145355" w14:paraId="1146C66D" w14:textId="0AFCB81A">
      <w:pPr>
        <w:spacing w:before="0" w:beforeAutospacing="off" w:after="0" w:afterAutospacing="off" w:line="480" w:lineRule="auto"/>
        <w:jc w:val="both"/>
      </w:pP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09EA9057" w14:textId="5CDD5362">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Educativas y escolares: Estas intervenciones buscan mejorar el rendimiento educativo de los jóvenes a través de cursos de alfabetización, educación formal y talleres de nuevas tecnologías, con el objetivo de reducir el absentismo escolar.</w:t>
      </w:r>
    </w:p>
    <w:p w:rsidR="71145355" w:rsidP="35B2FBC5" w:rsidRDefault="71145355" w14:paraId="6955076D" w14:textId="0F89C0D5">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Prelaborales</w:t>
      </w:r>
      <w:r w:rsidRPr="35B2FBC5" w:rsidR="1ABBCF78">
        <w:rPr>
          <w:rFonts w:ascii="Arial" w:hAnsi="Arial" w:eastAsia="Arial" w:cs="Arial"/>
          <w:noProof w:val="0"/>
          <w:color w:val="000000" w:themeColor="text1" w:themeTint="FF" w:themeShade="FF"/>
          <w:sz w:val="24"/>
          <w:szCs w:val="24"/>
          <w:lang w:val="es-CO"/>
        </w:rPr>
        <w:t xml:space="preserve"> y laborales: Se ofrecen talleres y cursos de formación ocupacional, así como asesoramiento sobre búsqueda de empleo y programas de inserción laboral, preparando a los jóvenes para el mercado laboral y fomentando su vinculación social.</w:t>
      </w:r>
    </w:p>
    <w:p w:rsidR="71145355" w:rsidP="35B2FBC5" w:rsidRDefault="71145355" w14:paraId="3DAB3673" w14:textId="5450EE34">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Educación psicosocial: Estas actividades enseñan habilidades interpersonales y conocimientos prácticos para la vida diaria, como la educación afectiva y la resolución de conflictos, con el fin de disminuir impulsos delictivos y mejorar la interacción social.</w:t>
      </w:r>
    </w:p>
    <w:p w:rsidR="71145355" w:rsidP="35B2FBC5" w:rsidRDefault="71145355" w14:paraId="257BE139" w14:textId="187A8D89">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Intervenciones psicoterapéuticas y tratamientos: Se centran en problemas específicos como el control de impulsos, agresión y consumo de sustancias, buscando prevenir y tratar cuestiones que pueden conducir a la conducta delictiva.</w:t>
      </w:r>
    </w:p>
    <w:p w:rsidR="71145355" w:rsidP="35B2FBC5" w:rsidRDefault="71145355" w14:paraId="5BFEBBDC" w14:textId="21711540">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Intervenciones en salud y trastornos mentales: Estas incluyen atención médica y psiquiátrica, así como talleres formativos sobre prevención de enfermedades y drogodependencias, abordando la salud integral de los jóvenes.</w:t>
      </w:r>
    </w:p>
    <w:p w:rsidR="71145355" w:rsidP="35B2FBC5" w:rsidRDefault="71145355" w14:paraId="67AC5ADB" w14:textId="487F29A3">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Ocio y tiempo libre: Se implementan programas que enseñan a los jóvenes a planificar su tiempo entre actividades académicas y recreativas, promoviendo un uso constructivo de su tiempo libre a través de deportes y actividades culturales.</w:t>
      </w:r>
    </w:p>
    <w:p w:rsidR="71145355" w:rsidP="35B2FBC5" w:rsidRDefault="71145355" w14:paraId="5170AC89" w14:textId="0C35C943">
      <w:pPr>
        <w:pStyle w:val="Prrafodelista"/>
        <w:numPr>
          <w:ilvl w:val="0"/>
          <w:numId w:val="43"/>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 xml:space="preserve">Intervenciones con las familias: Se realizan programas para mejorar la relación entre los adolescentes y sus familias, incluyendo mediación en conflictos familiares y apoyo a las figuras parentales, buscando fortalecer el entorno familiar de los jóvenes. </w:t>
      </w:r>
    </w:p>
    <w:p w:rsidR="71145355" w:rsidP="35B2FBC5" w:rsidRDefault="71145355" w14:paraId="6B667A66" w14:textId="7D328937">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Estas intervenciones adoptan un enfoque integral que aborda tanto las necesidades individuales de los adolescentes como el contexto familiar y social en el que se desenvuelven, con el objetivo de reducir los factores de riesgo que contribuyen a la conducta delictiva. </w:t>
      </w:r>
    </w:p>
    <w:p w:rsidR="71145355" w:rsidP="35B2FBC5" w:rsidRDefault="71145355" w14:paraId="4804D46D" w14:textId="6F3CF756">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En relación con lo anterior, un estudio realizado por </w:t>
      </w:r>
      <w:r w:rsidRPr="35B2FBC5" w:rsidR="1ABBCF78">
        <w:rPr>
          <w:rFonts w:ascii="Arial" w:hAnsi="Arial" w:eastAsia="Arial" w:cs="Arial"/>
          <w:noProof w:val="0"/>
          <w:color w:val="000000" w:themeColor="text1" w:themeTint="FF" w:themeShade="FF"/>
          <w:sz w:val="24"/>
          <w:szCs w:val="24"/>
          <w:lang w:val="es-CO"/>
        </w:rPr>
        <w:t>Vilariño</w:t>
      </w:r>
      <w:r w:rsidRPr="35B2FBC5" w:rsidR="1ABBCF78">
        <w:rPr>
          <w:rFonts w:ascii="Arial" w:hAnsi="Arial" w:eastAsia="Arial" w:cs="Arial"/>
          <w:noProof w:val="0"/>
          <w:color w:val="000000" w:themeColor="text1" w:themeTint="FF" w:themeShade="FF"/>
          <w:sz w:val="24"/>
          <w:szCs w:val="24"/>
          <w:lang w:val="es-CO"/>
        </w:rPr>
        <w:t xml:space="preserve"> et al. (2013) encontró que los adolescentes infractores privados de libertad presentan limitaciones significativas. Se identificaron dificultades en áreas como la consideración hacia los demás, el retraimiento y la ansiedad social. Estas deficiencias en habilidades interpersonales pueden ser factores de riesgo que fomentan comportamientos antisociales, dificultando la socialización positiva y generando aislamiento social. </w:t>
      </w:r>
    </w:p>
    <w:p w:rsidR="71145355" w:rsidP="35B2FBC5" w:rsidRDefault="71145355" w14:paraId="52CDB6F0" w14:textId="1D28295C">
      <w:pPr>
        <w:spacing w:before="0" w:beforeAutospacing="off" w:after="0" w:afterAutospacing="off" w:line="480" w:lineRule="auto"/>
        <w:ind w:firstLine="708"/>
        <w:jc w:val="both"/>
      </w:pPr>
      <w:r w:rsidRPr="35B2FBC5" w:rsidR="11A74C18">
        <w:rPr>
          <w:rFonts w:ascii="Arial" w:hAnsi="Arial" w:eastAsia="Arial" w:cs="Arial"/>
          <w:noProof w:val="0"/>
          <w:color w:val="000000" w:themeColor="text1" w:themeTint="FF" w:themeShade="FF"/>
          <w:sz w:val="24"/>
          <w:szCs w:val="24"/>
          <w:lang w:val="es-CO"/>
        </w:rPr>
        <w:t xml:space="preserve">Además, el estudio destaca las estrategias de afrontamiento empleadas por los adolescentes infractores privados de libertad. Se observó que tienden a utilizar estrategias negativas, como ignorar problemas o autoinculparse, lo que resulta ineficaz en la resolución de conflictos. Adicionalmente, los infractores presentan niveles más bajos de inteligencia emocional, lo que puede obstaculizar su capacidad para manejar emociones negativas, incrementando así su propensión a conductas antisociales. Por todo lo anterior, los autores recomiendan implementar programas de intervención cognitivo-comportamentales que consideren múltiples niveles—individual, social y familiar—para facilitar una reinserción social efectiva. </w:t>
      </w:r>
    </w:p>
    <w:p w:rsidR="71145355" w:rsidP="35B2FBC5" w:rsidRDefault="71145355" w14:paraId="642E6901" w14:textId="5A63F3FA">
      <w:pPr>
        <w:spacing w:before="0" w:beforeAutospacing="off" w:after="0" w:afterAutospacing="off" w:line="480" w:lineRule="auto"/>
        <w:ind w:firstLine="708"/>
        <w:jc w:val="both"/>
        <w:rPr>
          <w:rFonts w:ascii="Arial" w:hAnsi="Arial" w:eastAsia="Arial" w:cs="Arial"/>
          <w:b w:val="0"/>
          <w:bCs w:val="0"/>
          <w:i w:val="0"/>
          <w:iCs w:val="0"/>
          <w:strike w:val="0"/>
          <w:dstrike w:val="0"/>
          <w:noProof w:val="0"/>
          <w:color w:val="000000" w:themeColor="text1" w:themeTint="FF" w:themeShade="FF"/>
          <w:sz w:val="24"/>
          <w:szCs w:val="24"/>
          <w:u w:val="none"/>
          <w:lang w:val="es-CO"/>
        </w:rPr>
      </w:pPr>
      <w:r w:rsidRPr="35B2FBC5" w:rsidR="11A74C18">
        <w:rPr>
          <w:rFonts w:ascii="Arial" w:hAnsi="Arial" w:eastAsia="Arial" w:cs="Arial"/>
          <w:b w:val="0"/>
          <w:bCs w:val="0"/>
          <w:i w:val="0"/>
          <w:iCs w:val="0"/>
          <w:strike w:val="0"/>
          <w:dstrike w:val="0"/>
          <w:noProof w:val="0"/>
          <w:color w:val="000000" w:themeColor="text1" w:themeTint="FF" w:themeShade="FF"/>
          <w:sz w:val="24"/>
          <w:szCs w:val="24"/>
          <w:u w:val="none"/>
          <w:lang w:val="es-CO"/>
        </w:rPr>
        <w:t>De igual manera, al sancionar al ofensor con una medida privativa de la libertad, hace que el ofensor sea excluido de su contexto familiar, lo que a su vez genera que las herramientas brindadas por los equipos psicosociales se proyecten en casos hipotéticos y no le permite al ofensor poner en práctica y entrenarse en las estrategias adquiridas frente a situaciones de conflicto cotidianas presentadas al interior del sistema familiar y las estrategias de afrontamiento de conflicto que tiene cada miembro familiar.</w:t>
      </w:r>
      <w:r w:rsidRPr="35B2FBC5" w:rsidR="11A74C18">
        <w:rPr>
          <w:rFonts w:ascii="Arial" w:hAnsi="Arial" w:eastAsia="Arial" w:cs="Arial"/>
          <w:noProof w:val="0"/>
          <w:color w:val="000000" w:themeColor="text1" w:themeTint="FF" w:themeShade="FF"/>
          <w:sz w:val="24"/>
          <w:szCs w:val="24"/>
          <w:lang w:val="es-CO"/>
        </w:rPr>
        <w:t xml:space="preserve"> </w:t>
      </w:r>
    </w:p>
    <w:p w:rsidR="71145355" w:rsidP="35B2FBC5" w:rsidRDefault="71145355" w14:paraId="33D336DB" w14:textId="307755F5">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Por otro lado, </w:t>
      </w:r>
      <w:r w:rsidRPr="35B2FBC5" w:rsidR="1ABBCF78">
        <w:rPr>
          <w:rFonts w:ascii="Arial" w:hAnsi="Arial" w:eastAsia="Arial" w:cs="Arial"/>
          <w:noProof w:val="0"/>
          <w:sz w:val="24"/>
          <w:szCs w:val="24"/>
          <w:lang w:val="es-CO"/>
        </w:rPr>
        <w:t>Henggeler</w:t>
      </w:r>
      <w:r w:rsidRPr="35B2FBC5" w:rsidR="1ABBCF78">
        <w:rPr>
          <w:rFonts w:ascii="Arial" w:hAnsi="Arial" w:eastAsia="Arial" w:cs="Arial"/>
          <w:noProof w:val="0"/>
          <w:sz w:val="24"/>
          <w:szCs w:val="24"/>
          <w:lang w:val="es-CO"/>
        </w:rPr>
        <w:t xml:space="preserve"> y </w:t>
      </w:r>
      <w:r w:rsidRPr="35B2FBC5" w:rsidR="1ABBCF78">
        <w:rPr>
          <w:rFonts w:ascii="Arial" w:hAnsi="Arial" w:eastAsia="Arial" w:cs="Arial"/>
          <w:noProof w:val="0"/>
          <w:sz w:val="24"/>
          <w:szCs w:val="24"/>
          <w:lang w:val="es-CO"/>
        </w:rPr>
        <w:t>Sheidow</w:t>
      </w:r>
      <w:r w:rsidRPr="35B2FBC5" w:rsidR="1ABBCF78">
        <w:rPr>
          <w:rFonts w:ascii="Arial" w:hAnsi="Arial" w:eastAsia="Arial" w:cs="Arial"/>
          <w:noProof w:val="0"/>
          <w:sz w:val="24"/>
          <w:szCs w:val="24"/>
          <w:lang w:val="es-CO"/>
        </w:rPr>
        <w:t xml:space="preserve"> (2012) </w:t>
      </w:r>
      <w:r w:rsidRPr="35B2FBC5" w:rsidR="1ABBCF78">
        <w:rPr>
          <w:rFonts w:ascii="Arial" w:hAnsi="Arial" w:eastAsia="Arial" w:cs="Arial"/>
          <w:noProof w:val="0"/>
          <w:color w:val="000000" w:themeColor="text1" w:themeTint="FF" w:themeShade="FF"/>
          <w:sz w:val="24"/>
          <w:szCs w:val="24"/>
          <w:lang w:val="es-CO"/>
        </w:rPr>
        <w:t>presentan un análisis exhaustivo del modelo de tratamiento de Terapia Multisistémica (MST) realizado en Estados Unidos, que se enfoca en adolescentes con comportamientos delictivos y sus familias. Este modelo considera que la familia es fundamental para lograr un cambio de comportamiento efectivo. Los terapeutas se esfuerzan por establecer relaciones colaborativas con los cuidadores y otros adultos relevantes en la vida del adolescente, buscando mejorar las habilidades de crianza y fomentar un entorno familiar que apoye el comportamiento prosocial. Asimismo, los autores indican que se utilizan múltiples enfoques terapéuticos, incluyendo intervenciones cognitivas, conductuales y sistémicas, adaptadas a las necesidades específicas de cada familia y adolescente.</w:t>
      </w:r>
    </w:p>
    <w:p w:rsidR="71145355" w:rsidP="35B2FBC5" w:rsidRDefault="71145355" w14:paraId="489BE0CE" w14:textId="465943BB">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Adicionalmente, los terapeutas ayudan a los jóvenes a establecer relaciones más positivas con sus pares y a mejorar su rendimiento académico. Finalmente, respecto a MST, los autores afirman que los estudios han demostrado que esta terapia puede reducir significativamente la reincidencia delictiva entre adolescentes y mejorar las relaciones familiares, con resultados positivos que se han mantenido a largo plazo en varios ensayos.</w:t>
      </w:r>
    </w:p>
    <w:p w:rsidR="71145355" w:rsidP="35B2FBC5" w:rsidRDefault="71145355" w14:paraId="0D1653E0" w14:textId="06D3258B">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Finalmente, en relación con los programas de justicia restaurativa, González-Ballesteros (2009) que realiza una investigación en Chile, resalta que este proceso incluye la participación de múltiples actores, como la víctima y su familia, centrándose en la responsabilidad del joven y la reparación del daño. Las decisiones se toman de manera colaborativa, considerando las necesidades de la víctima y buscando prevenir la reincidencia. Las evaluaciones de las intervenciones de justicia restaurativa indican un alto nivel de satisfacción entre los participantes, así como una tasa de reincidencia similar o incluso mejor que la del sistema tradicional. </w:t>
      </w:r>
    </w:p>
    <w:p w:rsidR="71145355" w:rsidP="35B2FBC5" w:rsidRDefault="71145355" w14:paraId="0B2BBD71" w14:textId="46F02EAC">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Además, los textos de Pineda y Otero (2004) y Ruiz-Pérez y Pastor-Moreno (2021) en sus investigaciones en Colombia, señalan que las intervenciones públicas y los procesos de conciliación, aunque necesarios, presentan limitaciones significativas en su capacidad para prevenir y mitigar la VIF. Esto se debe a que las dinámicas familiares están influenciadas por factores estructurales como las representaciones sociales, las redes familiares y sociales, y los niveles de pobreza y vulnerabilidad de los hogares. Por lo tanto, para lograr una prevención eficaz, es imprescindible abordar las causas subyacentes de la violencia, no solo mediante intervenciones legales, sino también a través de políticas públicas que promuevan la renegociación de las relaciones familiares y el fortalecimiento de los mecanismos de protección. </w:t>
      </w:r>
      <w:r>
        <w:br/>
      </w:r>
      <w:r w:rsidRPr="35B2FBC5" w:rsidR="1ABBCF78">
        <w:rPr>
          <w:rFonts w:ascii="Arial" w:hAnsi="Arial" w:eastAsia="Arial" w:cs="Arial"/>
          <w:noProof w:val="0"/>
          <w:sz w:val="24"/>
          <w:szCs w:val="24"/>
          <w:lang w:val="es-CO"/>
        </w:rPr>
        <w:t xml:space="preserve"> </w:t>
      </w:r>
      <w:r>
        <w:tab/>
      </w:r>
      <w:r w:rsidRPr="35B2FBC5" w:rsidR="1ABBCF78">
        <w:rPr>
          <w:rFonts w:ascii="Arial" w:hAnsi="Arial" w:eastAsia="Arial" w:cs="Arial"/>
          <w:noProof w:val="0"/>
          <w:sz w:val="24"/>
          <w:szCs w:val="24"/>
          <w:lang w:val="es-CO"/>
        </w:rPr>
        <w:t xml:space="preserve">Así mismo, el artículo, de España, de Arce, Fariña y Novo (2014) analiza la orientación de las penas privativas de libertad hacia la reeducación y reinserción social; los autores señalan que, aunque existen varios modelos para explicar el comportamiento delictivo (biológicos, sociológicos y psicológicos), ninguno ha alcanzado un consenso general debido a la naturaleza multicausal de la delincuencia. De lo anterior que las autoras propongan un enfoque integrador que agrupe los factores de riesgo en tres dimensiones: biológica, cognitiva y social, cada una con un modelo de intervención específico. </w:t>
      </w:r>
    </w:p>
    <w:p w:rsidR="71145355" w:rsidP="35B2FBC5" w:rsidRDefault="71145355" w14:paraId="279D0C71" w14:textId="182CD109">
      <w:pPr>
        <w:spacing w:before="0" w:beforeAutospacing="off" w:after="0" w:afterAutospacing="off" w:line="480" w:lineRule="auto"/>
        <w:ind w:firstLine="708"/>
        <w:jc w:val="both"/>
      </w:pPr>
      <w:r w:rsidRPr="35B2FBC5" w:rsidR="1ABBCF78">
        <w:rPr>
          <w:rFonts w:ascii="Arial" w:hAnsi="Arial" w:eastAsia="Arial" w:cs="Arial"/>
          <w:noProof w:val="0"/>
          <w:sz w:val="24"/>
          <w:szCs w:val="24"/>
          <w:lang w:val="es-CO"/>
        </w:rPr>
        <w:t xml:space="preserve">El articulo destaca la efectividad limitada de muchos tratamientos penitenciarios, como la supervisión intensiva o la terapia de grupo, y se subraya la necesidad de centrarse en programas cognitivo-conductuales que han demostrado reducir la reincidencia entre un 10% y 20%. Estos programas entrenan habilidades cognitivas clave, como la empatía y la resolución de problemas, para mejorar la competencia del individuo en contextos de riesgo. Finalmente, este articulo destaca la necesidad de programas reeducativos largos y espaciados en el tiempo, enfocados en mejorar el autoconcepto, estrategias de resolución de problemas y el desarrollo de la inteligencia emocional en los ofensores.  </w:t>
      </w:r>
    </w:p>
    <w:p w:rsidR="71145355" w:rsidP="35B2FBC5" w:rsidRDefault="71145355" w14:paraId="1FCE04A7" w14:textId="1C433BA1">
      <w:pPr>
        <w:spacing w:before="0" w:beforeAutospacing="off" w:after="0" w:afterAutospacing="off" w:line="480" w:lineRule="auto"/>
        <w:ind w:firstLine="709"/>
        <w:jc w:val="both"/>
        <w:rPr>
          <w:rFonts w:ascii="Arial" w:hAnsi="Arial" w:eastAsia="Arial" w:cs="Arial"/>
          <w:b w:val="0"/>
          <w:bCs w:val="0"/>
          <w:noProof w:val="0"/>
          <w:sz w:val="24"/>
          <w:szCs w:val="24"/>
          <w:lang w:val="es-ES"/>
        </w:rPr>
      </w:pPr>
      <w:r w:rsidRPr="665314E2" w:rsidR="3032F080">
        <w:rPr>
          <w:rFonts w:ascii="Arial" w:hAnsi="Arial" w:eastAsia="Arial" w:cs="Arial"/>
          <w:b w:val="0"/>
          <w:bCs w:val="0"/>
          <w:noProof w:val="0"/>
          <w:sz w:val="24"/>
          <w:szCs w:val="24"/>
          <w:lang w:val="es-ES"/>
        </w:rPr>
        <w:t xml:space="preserve"> </w:t>
      </w:r>
      <w:r w:rsidRPr="665314E2" w:rsidR="21D9CE2B">
        <w:rPr>
          <w:rFonts w:ascii="Arial" w:hAnsi="Arial" w:eastAsia="Arial" w:cs="Arial"/>
          <w:b w:val="0"/>
          <w:bCs w:val="0"/>
          <w:noProof w:val="0"/>
          <w:sz w:val="24"/>
          <w:szCs w:val="24"/>
          <w:lang w:val="es-ES"/>
        </w:rPr>
        <w:t xml:space="preserve">Venables, J., Young, A., O’Leary, P., &amp; </w:t>
      </w:r>
      <w:r w:rsidRPr="665314E2" w:rsidR="21D9CE2B">
        <w:rPr>
          <w:rFonts w:ascii="Arial" w:hAnsi="Arial" w:eastAsia="Arial" w:cs="Arial"/>
          <w:b w:val="0"/>
          <w:bCs w:val="0"/>
          <w:noProof w:val="0"/>
          <w:sz w:val="24"/>
          <w:szCs w:val="24"/>
          <w:lang w:val="es-ES"/>
        </w:rPr>
        <w:t>Dragiewicz</w:t>
      </w:r>
      <w:r w:rsidRPr="665314E2" w:rsidR="21D9CE2B">
        <w:rPr>
          <w:rFonts w:ascii="Arial" w:hAnsi="Arial" w:eastAsia="Arial" w:cs="Arial"/>
          <w:b w:val="0"/>
          <w:bCs w:val="0"/>
          <w:noProof w:val="0"/>
          <w:sz w:val="24"/>
          <w:szCs w:val="24"/>
          <w:lang w:val="es-ES"/>
        </w:rPr>
        <w:t>, M., (2025) mencionan diferentes programas</w:t>
      </w:r>
      <w:r w:rsidRPr="665314E2" w:rsidR="76326E3E">
        <w:rPr>
          <w:rFonts w:ascii="Arial" w:hAnsi="Arial" w:eastAsia="Arial" w:cs="Arial"/>
          <w:b w:val="0"/>
          <w:bCs w:val="0"/>
          <w:noProof w:val="0"/>
          <w:sz w:val="24"/>
          <w:szCs w:val="24"/>
          <w:lang w:val="es-ES"/>
        </w:rPr>
        <w:t xml:space="preserve"> para atender la </w:t>
      </w:r>
      <w:r w:rsidRPr="665314E2" w:rsidR="76326E3E">
        <w:rPr>
          <w:rFonts w:ascii="Arial" w:hAnsi="Arial" w:eastAsia="Arial" w:cs="Arial"/>
          <w:b w:val="0"/>
          <w:bCs w:val="0"/>
          <w:noProof w:val="0"/>
          <w:sz w:val="24"/>
          <w:szCs w:val="24"/>
          <w:lang w:val="es-ES"/>
        </w:rPr>
        <w:t>violencia intrafamiliar en donde los adolescentes son los agresores:</w:t>
      </w:r>
    </w:p>
    <w:p w:rsidR="71145355" w:rsidP="35B2FBC5" w:rsidRDefault="71145355" w14:paraId="4BA3B254" w14:textId="0732CCF9">
      <w:pPr>
        <w:pStyle w:val="Prrafodelista"/>
        <w:numPr>
          <w:ilvl w:val="0"/>
          <w:numId w:val="58"/>
        </w:numPr>
        <w:spacing w:before="0" w:beforeAutospacing="off" w:after="0" w:afterAutospacing="off" w:line="480" w:lineRule="auto"/>
        <w:ind w:left="720" w:right="0" w:hanging="360"/>
        <w:jc w:val="both"/>
        <w:rPr>
          <w:rFonts w:ascii="Arial" w:hAnsi="Arial" w:eastAsia="Arial" w:cs="Arial"/>
          <w:noProof w:val="0"/>
          <w:sz w:val="24"/>
          <w:szCs w:val="24"/>
          <w:lang w:val="es-ES"/>
        </w:rPr>
      </w:pPr>
      <w:r w:rsidRPr="35B2FBC5" w:rsidR="76326E3E">
        <w:rPr>
          <w:rFonts w:ascii="Arial" w:hAnsi="Arial" w:eastAsia="Arial" w:cs="Arial"/>
          <w:noProof w:val="0"/>
          <w:sz w:val="24"/>
          <w:szCs w:val="24"/>
          <w:lang w:val="es-ES"/>
        </w:rPr>
        <w:t>Program</w:t>
      </w:r>
      <w:r w:rsidRPr="35B2FBC5" w:rsidR="418EAF61">
        <w:rPr>
          <w:rFonts w:ascii="Arial" w:hAnsi="Arial" w:eastAsia="Arial" w:cs="Arial"/>
          <w:noProof w:val="0"/>
          <w:sz w:val="24"/>
          <w:szCs w:val="24"/>
          <w:lang w:val="es-ES"/>
        </w:rPr>
        <w:t>a</w:t>
      </w:r>
      <w:r w:rsidRPr="35B2FBC5" w:rsidR="76326E3E">
        <w:rPr>
          <w:rFonts w:ascii="Arial" w:hAnsi="Arial" w:eastAsia="Arial" w:cs="Arial"/>
          <w:noProof w:val="0"/>
          <w:sz w:val="24"/>
          <w:szCs w:val="24"/>
          <w:lang w:val="es-ES"/>
        </w:rPr>
        <w:t xml:space="preserve"> ‘Step-Up’: basado en enfoque cognitivo conductual de entrenamiento en habilidades y prácticas restaurativas</w:t>
      </w:r>
    </w:p>
    <w:p w:rsidR="71145355" w:rsidP="35B2FBC5" w:rsidRDefault="71145355" w14:paraId="73C32816" w14:textId="5E050415">
      <w:pPr>
        <w:pStyle w:val="Prrafodelista"/>
        <w:numPr>
          <w:ilvl w:val="0"/>
          <w:numId w:val="58"/>
        </w:numPr>
        <w:spacing w:before="0" w:beforeAutospacing="off" w:after="0" w:afterAutospacing="off" w:line="480" w:lineRule="auto"/>
        <w:ind w:left="720" w:right="0" w:hanging="360"/>
        <w:jc w:val="both"/>
        <w:rPr>
          <w:rFonts w:ascii="Arial" w:hAnsi="Arial" w:eastAsia="Arial" w:cs="Arial"/>
          <w:noProof w:val="0"/>
          <w:sz w:val="24"/>
          <w:szCs w:val="24"/>
          <w:lang w:val="es-ES"/>
        </w:rPr>
      </w:pPr>
      <w:r w:rsidRPr="35B2FBC5" w:rsidR="76326E3E">
        <w:rPr>
          <w:rFonts w:ascii="Arial" w:hAnsi="Arial" w:eastAsia="Arial" w:cs="Arial"/>
          <w:noProof w:val="0"/>
          <w:sz w:val="24"/>
          <w:szCs w:val="24"/>
          <w:lang w:val="es-ES"/>
        </w:rPr>
        <w:t xml:space="preserve">Programa australiano de empoderamiento parental </w:t>
      </w:r>
      <w:r w:rsidRPr="35B2FBC5" w:rsidR="76326E3E">
        <w:rPr>
          <w:rFonts w:ascii="Arial" w:hAnsi="Arial" w:eastAsia="Arial" w:cs="Arial"/>
          <w:b w:val="1"/>
          <w:bCs w:val="1"/>
          <w:noProof w:val="0"/>
          <w:sz w:val="24"/>
          <w:szCs w:val="24"/>
          <w:lang w:val="es-ES"/>
        </w:rPr>
        <w:t>"</w:t>
      </w:r>
      <w:r w:rsidRPr="35B2FBC5" w:rsidR="76326E3E">
        <w:rPr>
          <w:rFonts w:ascii="Arial" w:hAnsi="Arial" w:eastAsia="Arial" w:cs="Arial"/>
          <w:b w:val="1"/>
          <w:bCs w:val="1"/>
          <w:noProof w:val="0"/>
          <w:sz w:val="24"/>
          <w:szCs w:val="24"/>
          <w:lang w:val="es-ES"/>
        </w:rPr>
        <w:t>Who’s</w:t>
      </w:r>
      <w:r w:rsidRPr="35B2FBC5" w:rsidR="76326E3E">
        <w:rPr>
          <w:rFonts w:ascii="Arial" w:hAnsi="Arial" w:eastAsia="Arial" w:cs="Arial"/>
          <w:b w:val="1"/>
          <w:bCs w:val="1"/>
          <w:noProof w:val="0"/>
          <w:sz w:val="24"/>
          <w:szCs w:val="24"/>
          <w:lang w:val="es-ES"/>
        </w:rPr>
        <w:t xml:space="preserve"> in </w:t>
      </w:r>
      <w:r w:rsidRPr="35B2FBC5" w:rsidR="76326E3E">
        <w:rPr>
          <w:rFonts w:ascii="Arial" w:hAnsi="Arial" w:eastAsia="Arial" w:cs="Arial"/>
          <w:b w:val="1"/>
          <w:bCs w:val="1"/>
          <w:noProof w:val="0"/>
          <w:sz w:val="24"/>
          <w:szCs w:val="24"/>
          <w:lang w:val="es-ES"/>
        </w:rPr>
        <w:t>Charge</w:t>
      </w:r>
      <w:r w:rsidRPr="35B2FBC5" w:rsidR="76326E3E">
        <w:rPr>
          <w:rFonts w:ascii="Arial" w:hAnsi="Arial" w:eastAsia="Arial" w:cs="Arial"/>
          <w:b w:val="1"/>
          <w:bCs w:val="1"/>
          <w:noProof w:val="0"/>
          <w:sz w:val="24"/>
          <w:szCs w:val="24"/>
          <w:lang w:val="es-ES"/>
        </w:rPr>
        <w:t xml:space="preserve">?": </w:t>
      </w:r>
      <w:r w:rsidRPr="35B2FBC5" w:rsidR="76326E3E">
        <w:rPr>
          <w:rFonts w:ascii="Arial" w:hAnsi="Arial" w:eastAsia="Arial" w:cs="Arial"/>
          <w:noProof w:val="0"/>
          <w:sz w:val="24"/>
          <w:szCs w:val="24"/>
          <w:lang w:val="es-ES"/>
        </w:rPr>
        <w:t xml:space="preserve">utiliza enfoques centrados en soluciones y basados en fortalezas </w:t>
      </w:r>
    </w:p>
    <w:p w:rsidR="71145355" w:rsidP="35B2FBC5" w:rsidRDefault="71145355" w14:paraId="655EB23A" w14:textId="34848618">
      <w:pPr>
        <w:pStyle w:val="Prrafodelista"/>
        <w:numPr>
          <w:ilvl w:val="0"/>
          <w:numId w:val="58"/>
        </w:numPr>
        <w:spacing w:before="0" w:beforeAutospacing="off" w:after="0" w:afterAutospacing="off" w:line="480" w:lineRule="auto"/>
        <w:ind w:left="720" w:right="0" w:hanging="360"/>
        <w:jc w:val="both"/>
        <w:rPr>
          <w:rFonts w:ascii="Arial" w:hAnsi="Arial" w:eastAsia="Arial" w:cs="Arial"/>
          <w:noProof w:val="0"/>
          <w:sz w:val="24"/>
          <w:szCs w:val="24"/>
          <w:lang w:val="es-ES"/>
        </w:rPr>
      </w:pPr>
      <w:r w:rsidRPr="35B2FBC5" w:rsidR="76326E3E">
        <w:rPr>
          <w:rFonts w:ascii="Arial" w:hAnsi="Arial" w:eastAsia="Arial" w:cs="Arial"/>
          <w:noProof w:val="0"/>
          <w:sz w:val="24"/>
          <w:szCs w:val="24"/>
          <w:lang w:val="es-ES"/>
        </w:rPr>
        <w:t>La capacitación en Resistencia No Violenta desarrollada en Israel se basa en un marco de derechos y en el modelo sociopolítico de resistencia no violenta</w:t>
      </w:r>
    </w:p>
    <w:p w:rsidR="71145355" w:rsidP="35B2FBC5" w:rsidRDefault="71145355" w14:paraId="0C69AADA" w14:textId="7C7AA8F3">
      <w:pPr>
        <w:pStyle w:val="Prrafodelista"/>
        <w:spacing w:before="0" w:beforeAutospacing="off" w:after="0" w:afterAutospacing="off" w:line="480" w:lineRule="auto"/>
        <w:ind w:left="360" w:right="0" w:hanging="0" w:firstLine="349"/>
        <w:jc w:val="both"/>
        <w:rPr>
          <w:rFonts w:ascii="Arial" w:hAnsi="Arial" w:eastAsia="Arial" w:cs="Arial"/>
          <w:noProof w:val="0"/>
          <w:sz w:val="24"/>
          <w:szCs w:val="24"/>
          <w:lang w:val="es-ES"/>
        </w:rPr>
      </w:pPr>
      <w:r w:rsidRPr="665314E2" w:rsidR="76326E3E">
        <w:rPr>
          <w:rFonts w:ascii="Arial" w:hAnsi="Arial" w:eastAsia="Arial" w:cs="Arial"/>
          <w:noProof w:val="0"/>
          <w:sz w:val="24"/>
          <w:szCs w:val="24"/>
          <w:lang w:val="es-ES"/>
        </w:rPr>
        <w:t xml:space="preserve">Dentro de los diferentes programas se identifican como elementos fundamentales a tener en cuenta la psicoeducación para generar un lenguaje </w:t>
      </w:r>
      <w:r w:rsidRPr="665314E2" w:rsidR="4EDAA554">
        <w:rPr>
          <w:rFonts w:ascii="Arial" w:hAnsi="Arial" w:eastAsia="Arial" w:cs="Arial"/>
          <w:noProof w:val="0"/>
          <w:sz w:val="24"/>
          <w:szCs w:val="24"/>
          <w:lang w:val="es-ES"/>
        </w:rPr>
        <w:t>común</w:t>
      </w:r>
      <w:r w:rsidRPr="665314E2" w:rsidR="76326E3E">
        <w:rPr>
          <w:rFonts w:ascii="Arial" w:hAnsi="Arial" w:eastAsia="Arial" w:cs="Arial"/>
          <w:noProof w:val="0"/>
          <w:sz w:val="24"/>
          <w:szCs w:val="24"/>
          <w:lang w:val="es-ES"/>
        </w:rPr>
        <w:t xml:space="preserve"> entre todas las personas </w:t>
      </w:r>
      <w:r w:rsidRPr="665314E2" w:rsidR="63EC9684">
        <w:rPr>
          <w:rFonts w:ascii="Arial" w:hAnsi="Arial" w:eastAsia="Arial" w:cs="Arial"/>
          <w:noProof w:val="0"/>
          <w:sz w:val="24"/>
          <w:szCs w:val="24"/>
          <w:lang w:val="es-ES"/>
        </w:rPr>
        <w:t>participantes</w:t>
      </w:r>
      <w:r w:rsidRPr="665314E2" w:rsidR="76326E3E">
        <w:rPr>
          <w:rFonts w:ascii="Arial" w:hAnsi="Arial" w:eastAsia="Arial" w:cs="Arial"/>
          <w:noProof w:val="0"/>
          <w:sz w:val="24"/>
          <w:szCs w:val="24"/>
          <w:lang w:val="es-ES"/>
        </w:rPr>
        <w:t xml:space="preserve"> del proceso y disminuir las probabilidades de malentendidos o juicios, las estra</w:t>
      </w:r>
      <w:r w:rsidRPr="665314E2" w:rsidR="19DC784E">
        <w:rPr>
          <w:rFonts w:ascii="Arial" w:hAnsi="Arial" w:eastAsia="Arial" w:cs="Arial"/>
          <w:noProof w:val="0"/>
          <w:sz w:val="24"/>
          <w:szCs w:val="24"/>
          <w:lang w:val="es-ES"/>
        </w:rPr>
        <w:t>te</w:t>
      </w:r>
      <w:r w:rsidRPr="665314E2" w:rsidR="76326E3E">
        <w:rPr>
          <w:rFonts w:ascii="Arial" w:hAnsi="Arial" w:eastAsia="Arial" w:cs="Arial"/>
          <w:noProof w:val="0"/>
          <w:sz w:val="24"/>
          <w:szCs w:val="24"/>
          <w:lang w:val="es-ES"/>
        </w:rPr>
        <w:t xml:space="preserve">gias orientadas a soluciones, </w:t>
      </w:r>
      <w:r w:rsidRPr="665314E2" w:rsidR="2C5BE5E7">
        <w:rPr>
          <w:rFonts w:ascii="Arial" w:hAnsi="Arial" w:eastAsia="Arial" w:cs="Arial"/>
          <w:noProof w:val="0"/>
          <w:sz w:val="24"/>
          <w:szCs w:val="24"/>
          <w:lang w:val="es-ES"/>
        </w:rPr>
        <w:t xml:space="preserve">los </w:t>
      </w:r>
      <w:r w:rsidRPr="665314E2" w:rsidR="76326E3E">
        <w:rPr>
          <w:rFonts w:ascii="Arial" w:hAnsi="Arial" w:eastAsia="Arial" w:cs="Arial"/>
          <w:noProof w:val="0"/>
          <w:sz w:val="24"/>
          <w:szCs w:val="24"/>
          <w:lang w:val="es-ES"/>
        </w:rPr>
        <w:t>enfoque</w:t>
      </w:r>
      <w:r w:rsidRPr="665314E2" w:rsidR="1A952C60">
        <w:rPr>
          <w:rFonts w:ascii="Arial" w:hAnsi="Arial" w:eastAsia="Arial" w:cs="Arial"/>
          <w:noProof w:val="0"/>
          <w:sz w:val="24"/>
          <w:szCs w:val="24"/>
          <w:lang w:val="es-ES"/>
        </w:rPr>
        <w:t>s</w:t>
      </w:r>
      <w:r w:rsidRPr="665314E2" w:rsidR="76326E3E">
        <w:rPr>
          <w:rFonts w:ascii="Arial" w:hAnsi="Arial" w:eastAsia="Arial" w:cs="Arial"/>
          <w:noProof w:val="0"/>
          <w:sz w:val="24"/>
          <w:szCs w:val="24"/>
          <w:lang w:val="es-ES"/>
        </w:rPr>
        <w:t xml:space="preserve"> cognitivo conductual</w:t>
      </w:r>
      <w:r w:rsidRPr="665314E2" w:rsidR="249E0F9F">
        <w:rPr>
          <w:rFonts w:ascii="Arial" w:hAnsi="Arial" w:eastAsia="Arial" w:cs="Arial"/>
          <w:noProof w:val="0"/>
          <w:sz w:val="24"/>
          <w:szCs w:val="24"/>
          <w:lang w:val="es-ES"/>
        </w:rPr>
        <w:t xml:space="preserve"> y restaurativo, </w:t>
      </w:r>
      <w:r w:rsidRPr="665314E2" w:rsidR="6532B50E">
        <w:rPr>
          <w:rFonts w:ascii="Arial" w:hAnsi="Arial" w:eastAsia="Arial" w:cs="Arial"/>
          <w:noProof w:val="0"/>
          <w:sz w:val="24"/>
          <w:szCs w:val="24"/>
          <w:lang w:val="es-ES"/>
        </w:rPr>
        <w:t>el fortalecimiento de la comunicación y vínculos.</w:t>
      </w:r>
    </w:p>
    <w:p w:rsidR="665314E2" w:rsidP="665314E2" w:rsidRDefault="665314E2" w14:paraId="235072B6" w14:textId="6BD6F17A">
      <w:pPr>
        <w:pStyle w:val="Normal"/>
        <w:spacing w:before="0" w:beforeAutospacing="off" w:after="0" w:afterAutospacing="off" w:line="480" w:lineRule="auto"/>
        <w:ind w:left="708" w:right="0" w:hanging="0"/>
        <w:jc w:val="both"/>
        <w:rPr>
          <w:rFonts w:ascii="Arial" w:hAnsi="Arial" w:eastAsia="Arial" w:cs="Arial"/>
          <w:b w:val="1"/>
          <w:bCs w:val="1"/>
          <w:noProof w:val="0"/>
          <w:sz w:val="24"/>
          <w:szCs w:val="24"/>
          <w:lang w:val="es-CO"/>
        </w:rPr>
      </w:pPr>
    </w:p>
    <w:p w:rsidR="71145355" w:rsidP="35B2FBC5" w:rsidRDefault="71145355" w14:paraId="2417ED84" w14:textId="54888E5D">
      <w:pPr>
        <w:pStyle w:val="Normal"/>
        <w:spacing w:before="0" w:beforeAutospacing="off" w:after="0" w:afterAutospacing="off" w:line="480" w:lineRule="auto"/>
        <w:ind w:left="708" w:right="0" w:hanging="0"/>
        <w:jc w:val="both"/>
        <w:rPr>
          <w:rFonts w:ascii="Arial" w:hAnsi="Arial" w:eastAsia="Arial" w:cs="Arial"/>
          <w:b w:val="1"/>
          <w:bCs w:val="1"/>
          <w:noProof w:val="0"/>
          <w:sz w:val="24"/>
          <w:szCs w:val="24"/>
          <w:lang w:val="es-CO"/>
        </w:rPr>
      </w:pPr>
      <w:r w:rsidRPr="35B2FBC5" w:rsidR="1ABBCF78">
        <w:rPr>
          <w:rFonts w:ascii="Arial" w:hAnsi="Arial" w:eastAsia="Arial" w:cs="Arial"/>
          <w:b w:val="1"/>
          <w:bCs w:val="1"/>
          <w:noProof w:val="0"/>
          <w:sz w:val="24"/>
          <w:szCs w:val="24"/>
          <w:lang w:val="es-CO"/>
        </w:rPr>
        <w:t xml:space="preserve">Remisión </w:t>
      </w:r>
    </w:p>
    <w:p w:rsidR="71145355" w:rsidP="35B2FBC5" w:rsidRDefault="71145355" w14:paraId="1518250A" w14:textId="66E64997">
      <w:pPr>
        <w:spacing w:before="0" w:beforeAutospacing="off" w:after="0" w:afterAutospacing="off" w:line="480" w:lineRule="auto"/>
        <w:ind w:firstLine="708"/>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La violencia intrafamiliar (VIF) es una problemática urgente que requiere atención rápida y eficaz para prevenir y mitigar sus efectos en las personas afectadas. Con el fin de abordar esta problemática de manera integral, el Programa Distrital de Justicia Juvenil Restaurativa (PDJJR) ha establecido rutas de remisión en todas las fases del proceso penal, permitiendo su intervención en situaciones de prevención, principio de oportunidad y ejecución de sanciones en el marco del SRPA. Estas rutas comienzan con la recepción de casos derivados de actores clave como la Fiscalía, la Defensoría de Familia y el Sistema de Responsabilidad Penal Adolescente (SRPA), para luego iniciar un proceso restaurativo que involucra a las víctimas, los ofensores y sus redes de apoyo. A través de estas intervenciones, se busca reducir los factores de riesgo, promover la reparación del daño, la reintegración de los jóvenes a sus contextos familiares y sociales, y la prevención de la reincidencia. </w:t>
      </w:r>
      <w:r w:rsidRPr="35B2FBC5" w:rsidR="1ABBCF78">
        <w:rPr>
          <w:rFonts w:ascii="Arial" w:hAnsi="Arial" w:eastAsia="Arial" w:cs="Arial"/>
          <w:noProof w:val="0"/>
          <w:sz w:val="24"/>
          <w:szCs w:val="24"/>
          <w:lang w:val="es-CO"/>
        </w:rPr>
        <w:t>Cada fase de la remisión está cuidadosamente diseñada para garantizar la legalidad y efectividad del proceso, con el fin de que tanto personas en riesgo, como víctimas y ofensores puedan sanar y transformar sus dinámicas relacionales en base a principios restaurativos.</w:t>
      </w:r>
    </w:p>
    <w:p w:rsidR="78CE3551" w:rsidP="35B2FBC5" w:rsidRDefault="78CE3551" w14:paraId="1E0C1061" w14:textId="233E217D">
      <w:pPr>
        <w:spacing w:before="0" w:beforeAutospacing="off" w:after="0" w:afterAutospacing="off" w:line="480" w:lineRule="auto"/>
        <w:ind w:firstLine="709"/>
        <w:jc w:val="both"/>
        <w:rPr>
          <w:rFonts w:ascii="Arial" w:hAnsi="Arial" w:eastAsia="Arial" w:cs="Arial"/>
          <w:noProof w:val="0"/>
          <w:sz w:val="24"/>
          <w:szCs w:val="24"/>
          <w:lang w:val="es-CO"/>
        </w:rPr>
      </w:pPr>
    </w:p>
    <w:p w:rsidR="71145355" w:rsidP="35B2FBC5" w:rsidRDefault="71145355" w14:paraId="314BA1EF" w14:textId="708011CD">
      <w:pPr>
        <w:pStyle w:val="Prrafodelista"/>
        <w:spacing w:before="0" w:beforeAutospacing="off" w:after="0" w:afterAutospacing="off" w:line="480" w:lineRule="auto"/>
        <w:ind w:left="360" w:right="0" w:hanging="0"/>
        <w:jc w:val="both"/>
        <w:rPr>
          <w:rFonts w:ascii="Arial" w:hAnsi="Arial" w:eastAsia="Arial" w:cs="Arial"/>
          <w:b w:val="1"/>
          <w:bCs w:val="1"/>
          <w:noProof w:val="0"/>
          <w:sz w:val="24"/>
          <w:szCs w:val="24"/>
          <w:lang w:val="es-CO"/>
        </w:rPr>
      </w:pPr>
      <w:r w:rsidRPr="35B2FBC5" w:rsidR="1ABBCF78">
        <w:rPr>
          <w:rFonts w:ascii="Arial" w:hAnsi="Arial" w:eastAsia="Arial" w:cs="Arial"/>
          <w:b w:val="1"/>
          <w:bCs w:val="1"/>
          <w:noProof w:val="0"/>
          <w:sz w:val="24"/>
          <w:szCs w:val="24"/>
          <w:lang w:val="es-CO"/>
        </w:rPr>
        <w:t>Ruta de ingreso para la línea de Prevención.</w:t>
      </w:r>
    </w:p>
    <w:p w:rsidR="71145355" w:rsidP="35B2FBC5" w:rsidRDefault="71145355" w14:paraId="46602CE1" w14:textId="741C50E2">
      <w:pPr>
        <w:spacing w:before="0" w:beforeAutospacing="off" w:after="0" w:afterAutospacing="off" w:line="480" w:lineRule="auto"/>
        <w:ind w:firstLine="708"/>
        <w:jc w:val="both"/>
        <w:rPr>
          <w:rFonts w:ascii="Arial" w:hAnsi="Arial" w:eastAsia="Arial" w:cs="Arial"/>
          <w:noProof w:val="0"/>
          <w:sz w:val="24"/>
          <w:szCs w:val="24"/>
          <w:lang w:val="es-CO"/>
        </w:rPr>
      </w:pPr>
      <w:r w:rsidRPr="35B2FBC5" w:rsidR="3032F080">
        <w:rPr>
          <w:rFonts w:ascii="Arial" w:hAnsi="Arial" w:eastAsia="Arial" w:cs="Arial"/>
          <w:noProof w:val="0"/>
          <w:sz w:val="24"/>
          <w:szCs w:val="24"/>
          <w:lang w:val="es-CO"/>
        </w:rPr>
        <w:t xml:space="preserve">Una vez fiscalía recibe una denuncia por violencia intrafamiliar en el Sistema de Responsabilidad Penal Adolescente, el fiscal debe realizar la solicitud de verificación de derechos al Instituto Colombiano de Bienestar familiar (ICBF), de esta manera las defensorías de familia entran a realizar una valoración para determinar si se requiere abrir proceso de restablecimiento de derechos a favor del adolescente presunto ofensor. </w:t>
      </w:r>
      <w:r w:rsidRPr="35B2FBC5" w:rsidR="3032F080">
        <w:rPr>
          <w:rFonts w:ascii="Arial" w:hAnsi="Arial" w:eastAsia="Arial" w:cs="Arial"/>
          <w:noProof w:val="0"/>
          <w:sz w:val="24"/>
          <w:szCs w:val="24"/>
          <w:lang w:val="es-CO"/>
        </w:rPr>
        <w:t>Es posible que, durante esta etapa, sin que la investigación en el marco del proceso penal avance, la defensoría de familia identifique factores de riesgo asociados a la VIF, en este caso puede realizar la remisión al PDJJR para que se trabaje entorno a estos factores de riesgo con el presunto ofensor y sus redes de apoyo con el objetivo de disminuir la probabilidad de que se presenten o repitan agresiones.</w:t>
      </w:r>
      <w:r w:rsidRPr="35B2FBC5" w:rsidR="31EA2837">
        <w:rPr>
          <w:rFonts w:ascii="Arial" w:hAnsi="Arial" w:eastAsia="Arial" w:cs="Arial"/>
          <w:noProof w:val="0"/>
          <w:sz w:val="24"/>
          <w:szCs w:val="24"/>
          <w:lang w:val="es-CO"/>
        </w:rPr>
        <w:t xml:space="preserve"> Cabe </w:t>
      </w:r>
      <w:r w:rsidRPr="35B2FBC5" w:rsidR="5246EB40">
        <w:rPr>
          <w:rFonts w:ascii="Arial" w:hAnsi="Arial" w:eastAsia="Arial" w:cs="Arial"/>
          <w:noProof w:val="0"/>
          <w:sz w:val="24"/>
          <w:szCs w:val="24"/>
          <w:lang w:val="es-CO"/>
        </w:rPr>
        <w:t xml:space="preserve">destacar que se trabajaran con los jóvenes y sus redes de apoyo. </w:t>
      </w:r>
    </w:p>
    <w:p w:rsidR="78CE3551" w:rsidP="35B2FBC5" w:rsidRDefault="78CE3551" w14:paraId="76E0E8AF" w14:textId="5D4EC14B">
      <w:pPr>
        <w:spacing w:before="0" w:beforeAutospacing="off" w:after="0" w:afterAutospacing="off" w:line="480" w:lineRule="auto"/>
        <w:jc w:val="both"/>
        <w:rPr>
          <w:rFonts w:ascii="Arial" w:hAnsi="Arial" w:eastAsia="Arial" w:cs="Arial"/>
          <w:noProof w:val="0"/>
          <w:sz w:val="24"/>
          <w:szCs w:val="24"/>
          <w:lang w:val="es-CO"/>
        </w:rPr>
      </w:pPr>
    </w:p>
    <w:p w:rsidR="71145355" w:rsidP="35B2FBC5" w:rsidRDefault="71145355" w14:paraId="07E4B645" w14:textId="51948E52">
      <w:pPr>
        <w:pStyle w:val="Prrafodelista"/>
        <w:spacing w:before="0" w:beforeAutospacing="off" w:after="0" w:afterAutospacing="off" w:line="480" w:lineRule="auto"/>
        <w:ind w:left="720" w:right="0" w:hanging="360"/>
        <w:jc w:val="both"/>
        <w:rPr>
          <w:rFonts w:ascii="Arial" w:hAnsi="Arial" w:eastAsia="Arial" w:cs="Arial"/>
          <w:b w:val="1"/>
          <w:bCs w:val="1"/>
          <w:noProof w:val="0"/>
          <w:sz w:val="24"/>
          <w:szCs w:val="24"/>
          <w:lang w:val="es-CO"/>
        </w:rPr>
      </w:pPr>
      <w:r w:rsidRPr="35B2FBC5" w:rsidR="1ABBCF78">
        <w:rPr>
          <w:rFonts w:ascii="Arial" w:hAnsi="Arial" w:eastAsia="Arial" w:cs="Arial"/>
          <w:b w:val="1"/>
          <w:bCs w:val="1"/>
          <w:noProof w:val="0"/>
          <w:sz w:val="24"/>
          <w:szCs w:val="24"/>
          <w:lang w:val="es-CO"/>
        </w:rPr>
        <w:t xml:space="preserve">Ruta de ingreso para la línea Principio de Oportunidad. </w:t>
      </w:r>
    </w:p>
    <w:p w:rsidR="71145355" w:rsidP="35B2FBC5" w:rsidRDefault="71145355" w14:paraId="19CEAAEF" w14:textId="1D19343D">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Esta línea presta atención a víctimas, adolescentes y jóvenes ofensores y a algunos miembros de sus familias, dentro de lo posible a todos los que estén inmersos en las dinámicas violentas.</w:t>
      </w:r>
      <w:r w:rsidRPr="35B2FBC5" w:rsidR="1ABBCF78">
        <w:rPr>
          <w:rFonts w:ascii="Arial" w:hAnsi="Arial" w:eastAsia="Arial" w:cs="Arial"/>
          <w:noProof w:val="0"/>
          <w:color w:val="000000" w:themeColor="text1" w:themeTint="FF" w:themeShade="FF"/>
          <w:sz w:val="24"/>
          <w:szCs w:val="24"/>
          <w:lang w:val="es-CO"/>
        </w:rPr>
        <w:t xml:space="preserve"> L</w:t>
      </w:r>
      <w:r w:rsidRPr="35B2FBC5" w:rsidR="1ABBCF78">
        <w:rPr>
          <w:rFonts w:ascii="Arial" w:hAnsi="Arial" w:eastAsia="Arial" w:cs="Arial"/>
          <w:noProof w:val="0"/>
          <w:color w:val="000000" w:themeColor="text1" w:themeTint="FF" w:themeShade="FF"/>
          <w:sz w:val="24"/>
          <w:szCs w:val="24"/>
          <w:lang w:val="es-CO"/>
        </w:rPr>
        <w:t>os adolescentes y jóvene</w:t>
      </w:r>
      <w:r w:rsidRPr="35B2FBC5" w:rsidR="1ABBCF78">
        <w:rPr>
          <w:rFonts w:ascii="Arial" w:hAnsi="Arial" w:eastAsia="Arial" w:cs="Arial"/>
          <w:noProof w:val="0"/>
          <w:color w:val="000000" w:themeColor="text1" w:themeTint="FF" w:themeShade="FF"/>
          <w:sz w:val="24"/>
          <w:szCs w:val="24"/>
          <w:lang w:val="es-CO"/>
        </w:rPr>
        <w:t>s atendidos han ingresado al SRPA por la presunta comisión de del delito de violencia intrafamiliar y por iniciativa de la fiscalía general de la Nación y bajo el control de legalidad de un Juez con función de Control de Garantías, han sido beneficiados con la aplicación preferente del Principio de Oportunidad bajo la modalidad de Suspensión del Procedimiento a Prueba, es importante mencionar que la víctima tuvo que estar de acuerdo con esta decisión. Tras ser remitidos al Programa, las y los adolescentes y jóvenes comienzan un proceso enmarcado en los principios de la Justicia Restaurativa para lograr tres objetivos: responsabilizarse de sus actos, reparar el daño causado y reintegrarse a su contexto familiar, comunitario y social como ciudadanos responsables y con un proyecto de vida alejado de la violencia y el delito; las víctimas se atienden en función de la identificación de daños y necesidades generados a partir del delito, el reconocimiento de su rol en la relación conflictiva y en el reconocimiento de habilidades y capacidades; las redes de apoyo en este caso es posible que sean tanto de la víctima como del ofensor y que hagan parte de las mismas dinámicas violentas, es por esto que es necesario vincularlas y trabajar en los factores de riesgo presentes.</w:t>
      </w:r>
    </w:p>
    <w:p w:rsidR="71145355" w:rsidP="35B2FBC5" w:rsidRDefault="71145355" w14:paraId="73115CF1" w14:textId="2AB2BBAC">
      <w:pPr>
        <w:spacing w:before="0" w:beforeAutospacing="off" w:after="0" w:afterAutospacing="off" w:line="480" w:lineRule="auto"/>
        <w:ind w:left="720" w:right="0"/>
        <w:jc w:val="both"/>
      </w:pPr>
      <w:r w:rsidRPr="35B2FBC5" w:rsidR="1ABBCF78">
        <w:rPr>
          <w:rFonts w:ascii="Arial" w:hAnsi="Arial" w:eastAsia="Arial" w:cs="Arial"/>
          <w:noProof w:val="0"/>
          <w:color w:val="000000" w:themeColor="text1" w:themeTint="FF" w:themeShade="FF"/>
          <w:sz w:val="24"/>
          <w:szCs w:val="24"/>
          <w:lang w:val="es-CO"/>
        </w:rPr>
        <w:t xml:space="preserve">El paso a paso de la ruta de remisión por principio de oportunidad es el siguiente: </w:t>
      </w:r>
    </w:p>
    <w:p w:rsidR="71145355" w:rsidP="35B2FBC5" w:rsidRDefault="71145355" w14:paraId="2629A10B" w14:textId="58E042DE">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
        </w:rPr>
      </w:pPr>
      <w:r w:rsidRPr="35B2FBC5" w:rsidR="1ABBCF78">
        <w:rPr>
          <w:rFonts w:ascii="Arial" w:hAnsi="Arial" w:eastAsia="Arial" w:cs="Arial"/>
          <w:noProof w:val="0"/>
          <w:color w:val="000000" w:themeColor="text1" w:themeTint="FF" w:themeShade="FF"/>
          <w:sz w:val="24"/>
          <w:szCs w:val="24"/>
          <w:lang w:val="es"/>
        </w:rPr>
        <w:t>El Fiscal selecciona y postula los procesos para la aplicación del Principio de Oportunidad bajo la modalidad de Suspensión de Procedimiento a Prueba, teniendo en cuenta el cumplimiento de los criterios objetivos del Código de Procedimiento Penal. Esto se realiza con apoyo de un profesional del PDJJR para explicarles en que consiste participar en el programa.</w:t>
      </w:r>
    </w:p>
    <w:p w:rsidR="71145355" w:rsidP="35B2FBC5" w:rsidRDefault="71145355" w14:paraId="14FBFE24" w14:textId="23E15709">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Se realiza una sensibilización a las partes (víctima y ofensor) sobre qué es el proceso restaurativo y se indaga sobre la voluntariedad de participar en el Programa.</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194CE8D2" w14:textId="1353949F">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En el caso que las partes (víctima y ofensor) estén de acuerdo, desde el Programa se envía a Defensoría Pública y Defensoría de Familia la citación a un encuentro acordado con Fiscalía. Este encuentro puede realizarse por separado víctimas y ofensores o de manera conjunta (de acuerdo con el caso) para que Fiscalía explique en qué consiste el Principio de Oportunidad, la Defensoría de Familia y la Defensoría Pública expliquen el acompañamiento que realizarán durante el proceso y un profesional del PDJJR explique en qué consiste la justicia restaurativa y lo que supone participar en el Programa. Luego se establecen los compromisos que se incorporarán en el Acuerdo Restaurativo y el tiempo de la suspensión y se procede a la firma de dichos compromisos.</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1EB21D24" w14:textId="0D5BE238">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Una vez que las partes firman compromisos, el director de Responsabilidad Penal Adolescente expide una carta de aceptación del caso, la cual es presentada por el Fiscal en la audiencia de legalización del Principio de Oportunidad ante un Juez con función de Control de Garantías.</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05388D24" w14:textId="7E5BBC76">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Si el juez otorga principio de legalidad a la aplicación del Principio de Oportunidad, el caso es remitido al PDJJR por el tiempo de suspensión que haya sido fijado por la autoridad judicial.</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2386193F" w14:textId="4589D8E3">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Una vez recibido el caso, la coordinación del Programa asigna equipo interdisciplinar de atención, quienes inician valoración con las partes y construyen un Plan Integral Restaurativo con objetivos claros, alcanzables y medibles, en cuyo desarrollo se trabajará durante el tiempo de atención.</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644408AF" w14:textId="037F04DD">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Durante el proceso de atención puede identificarse la necesidad de una prórroga en el tiempo de la Suspensión del Procedimiento a Prueba, lo cual puede ser solicitada a través de un informe a la Fiscalía. El Fiscal del caso evalúa el proceso y si lo considera pertinente, solicita la audiencia de prórroga.</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3724F6FB" w14:textId="2999387D">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3032F080">
        <w:rPr>
          <w:rFonts w:ascii="Arial" w:hAnsi="Arial" w:eastAsia="Arial" w:cs="Arial"/>
          <w:noProof w:val="0"/>
          <w:color w:val="000000" w:themeColor="text1" w:themeTint="FF" w:themeShade="FF"/>
          <w:sz w:val="24"/>
          <w:szCs w:val="24"/>
          <w:lang w:val="es"/>
        </w:rPr>
        <w:t>El Programa envía un primer informe a</w:t>
      </w:r>
      <w:r w:rsidRPr="35B2FBC5" w:rsidR="3EC27EA3">
        <w:rPr>
          <w:rFonts w:ascii="Arial" w:hAnsi="Arial" w:eastAsia="Arial" w:cs="Arial"/>
          <w:noProof w:val="0"/>
          <w:color w:val="000000" w:themeColor="text1" w:themeTint="FF" w:themeShade="FF"/>
          <w:sz w:val="24"/>
          <w:szCs w:val="24"/>
          <w:lang w:val="es"/>
        </w:rPr>
        <w:t xml:space="preserve"> los dos meses</w:t>
      </w:r>
      <w:r w:rsidRPr="35B2FBC5" w:rsidR="3032F080">
        <w:rPr>
          <w:rFonts w:ascii="Arial" w:hAnsi="Arial" w:eastAsia="Arial" w:cs="Arial"/>
          <w:noProof w:val="0"/>
          <w:color w:val="000000" w:themeColor="text1" w:themeTint="FF" w:themeShade="FF"/>
          <w:sz w:val="24"/>
          <w:szCs w:val="24"/>
          <w:lang w:val="es"/>
        </w:rPr>
        <w:t xml:space="preserve"> de ingreso y cada dos meses a fin de reportar los avances y dificultades del proceso de atención a las autoridades competentes.</w:t>
      </w:r>
      <w:r w:rsidRPr="35B2FBC5" w:rsidR="3032F080">
        <w:rPr>
          <w:rFonts w:ascii="Arial" w:hAnsi="Arial" w:eastAsia="Arial" w:cs="Arial"/>
          <w:noProof w:val="0"/>
          <w:color w:val="000000" w:themeColor="text1" w:themeTint="FF" w:themeShade="FF"/>
          <w:sz w:val="24"/>
          <w:szCs w:val="24"/>
          <w:lang w:val="es-CO"/>
        </w:rPr>
        <w:t xml:space="preserve"> </w:t>
      </w:r>
    </w:p>
    <w:p w:rsidR="71145355" w:rsidP="35B2FBC5" w:rsidRDefault="71145355" w14:paraId="63C5B87A" w14:textId="758C3BE6">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Una vez finaliza el tiempo de suspensión se envía un informe final a las autoridades reportando el cumplimiento de objetivos que se firmaron en el acuerdo inicial con Fiscalía y los objetivos que se construyeron en el Plan Integral Restaurativo.</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4B5A8A3D" w14:textId="6F5CA0E7">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
        </w:rPr>
        <w:t>Una vez que el Fiscal constata el cumplimiento de objetivos, solicita audiencia para aplicación de Principio de Oportunidad en la modalidad de renuncia.</w:t>
      </w:r>
      <w:r w:rsidRPr="35B2FBC5" w:rsidR="1ABBCF78">
        <w:rPr>
          <w:rFonts w:ascii="Arial" w:hAnsi="Arial" w:eastAsia="Arial" w:cs="Arial"/>
          <w:noProof w:val="0"/>
          <w:color w:val="000000" w:themeColor="text1" w:themeTint="FF" w:themeShade="FF"/>
          <w:sz w:val="24"/>
          <w:szCs w:val="24"/>
          <w:lang w:val="es"/>
        </w:rPr>
        <w:t xml:space="preserve"> Si el Juez con función de Control de Garantías está de acuerdo, otorga legalidad al proceso y ordena el cierre definitivo del proceso penal.</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16038CA6" w14:textId="6CB257C8">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4"/>
          <w:szCs w:val="24"/>
          <w:lang w:val="es-CO"/>
        </w:rPr>
      </w:pPr>
      <w:r w:rsidRPr="35B2FBC5" w:rsidR="371FDAE6">
        <w:rPr>
          <w:rFonts w:ascii="Arial" w:hAnsi="Arial" w:eastAsia="Arial" w:cs="Arial"/>
          <w:noProof w:val="0"/>
          <w:color w:val="000000" w:themeColor="text1" w:themeTint="FF" w:themeShade="FF"/>
          <w:sz w:val="24"/>
          <w:szCs w:val="24"/>
          <w:lang w:val="es"/>
        </w:rPr>
        <w:t>Desde el PDJJR se continúa realizando seguimiento a víctimas y ofensores durante los siguientes seis (6) meses, en caso en que ellos lo requieran y acepten.</w:t>
      </w:r>
      <w:r w:rsidRPr="35B2FBC5" w:rsidR="371FDAE6">
        <w:rPr>
          <w:rFonts w:ascii="Arial" w:hAnsi="Arial" w:eastAsia="Arial" w:cs="Arial"/>
          <w:noProof w:val="0"/>
          <w:color w:val="000000" w:themeColor="text1" w:themeTint="FF" w:themeShade="FF"/>
          <w:sz w:val="24"/>
          <w:szCs w:val="24"/>
          <w:lang w:val="es-CO"/>
        </w:rPr>
        <w:t xml:space="preserve"> </w:t>
      </w:r>
    </w:p>
    <w:p w:rsidR="71145355" w:rsidP="35B2FBC5" w:rsidRDefault="71145355" w14:paraId="727CC947" w14:textId="5D9937AD">
      <w:pPr>
        <w:pStyle w:val="Prrafodelista"/>
        <w:numPr>
          <w:ilvl w:val="0"/>
          <w:numId w:val="46"/>
        </w:numPr>
        <w:spacing w:before="0" w:beforeAutospacing="off" w:after="0" w:afterAutospacing="off" w:line="480" w:lineRule="auto"/>
        <w:ind w:left="1069" w:right="0" w:hanging="360"/>
        <w:jc w:val="both"/>
        <w:rPr>
          <w:rFonts w:ascii="Arial" w:hAnsi="Arial" w:eastAsia="Arial" w:cs="Arial"/>
          <w:noProof w:val="0"/>
          <w:color w:val="000000" w:themeColor="text1" w:themeTint="FF" w:themeShade="FF"/>
          <w:sz w:val="22"/>
          <w:szCs w:val="22"/>
          <w:lang w:val="es-CO"/>
        </w:rPr>
      </w:pPr>
      <w:r w:rsidRPr="35B2FBC5" w:rsidR="371FDAE6">
        <w:rPr>
          <w:rFonts w:ascii="Arial" w:hAnsi="Arial" w:eastAsia="Arial" w:cs="Arial"/>
          <w:noProof w:val="0"/>
          <w:color w:val="000000" w:themeColor="text1" w:themeTint="FF" w:themeShade="FF"/>
          <w:sz w:val="24"/>
          <w:szCs w:val="24"/>
          <w:lang w:val="es"/>
        </w:rPr>
        <w:t>La duración del proceso está determinada por el tiempo de suspensión definido por el Fiscal del caso y legalizado por el Juez con función de Control de Garantías, más los seis meses de seguimiento que se realizan una vez se termina el tiempo de suspensión. Este tiempo puede ser mayor o menor de acuerdo con situaciones extraordinarias presentadas por las partes.</w:t>
      </w:r>
    </w:p>
    <w:p w:rsidR="71145355" w:rsidP="35B2FBC5" w:rsidRDefault="71145355" w14:paraId="28E43008" w14:textId="6617BDB5">
      <w:pPr>
        <w:pStyle w:val="Prrafodelista"/>
        <w:spacing w:before="0" w:beforeAutospacing="off" w:after="0" w:afterAutospacing="off" w:line="480" w:lineRule="auto"/>
        <w:ind w:left="1069" w:right="0" w:hanging="360"/>
        <w:jc w:val="both"/>
        <w:rPr>
          <w:rFonts w:ascii="Calibri" w:hAnsi="Calibri" w:eastAsia="Calibri" w:cs="Calibri"/>
          <w:noProof w:val="0"/>
          <w:sz w:val="22"/>
          <w:szCs w:val="22"/>
          <w:lang w:val="es-CO"/>
        </w:rPr>
      </w:pPr>
    </w:p>
    <w:p w:rsidR="71145355" w:rsidP="35B2FBC5" w:rsidRDefault="71145355" w14:paraId="33116290" w14:textId="483A7FE8">
      <w:pPr>
        <w:pStyle w:val="Prrafodelista"/>
        <w:spacing w:before="0" w:beforeAutospacing="off" w:after="0" w:afterAutospacing="off" w:line="480" w:lineRule="auto"/>
        <w:ind w:left="720" w:right="0" w:hanging="360"/>
        <w:jc w:val="both"/>
        <w:rPr>
          <w:rFonts w:ascii="Arial" w:hAnsi="Arial" w:eastAsia="Arial" w:cs="Arial"/>
          <w:b w:val="1"/>
          <w:bCs w:val="1"/>
          <w:noProof w:val="0"/>
          <w:color w:val="000000" w:themeColor="text1" w:themeTint="FF" w:themeShade="FF"/>
          <w:sz w:val="24"/>
          <w:szCs w:val="24"/>
          <w:lang w:val="es"/>
        </w:rPr>
      </w:pPr>
      <w:r w:rsidRPr="35B2FBC5" w:rsidR="371FDAE6">
        <w:rPr>
          <w:rFonts w:ascii="Arial" w:hAnsi="Arial" w:eastAsia="Arial" w:cs="Arial"/>
          <w:b w:val="1"/>
          <w:bCs w:val="1"/>
          <w:noProof w:val="0"/>
          <w:color w:val="000000" w:themeColor="text1" w:themeTint="FF" w:themeShade="FF"/>
          <w:sz w:val="24"/>
          <w:szCs w:val="24"/>
          <w:lang w:val="es-CO"/>
        </w:rPr>
        <w:t xml:space="preserve">Ruta de ingreso para la línea </w:t>
      </w:r>
      <w:r w:rsidRPr="35B2FBC5" w:rsidR="371FDAE6">
        <w:rPr>
          <w:rFonts w:ascii="Arial" w:hAnsi="Arial" w:eastAsia="Arial" w:cs="Arial"/>
          <w:b w:val="1"/>
          <w:bCs w:val="1"/>
          <w:noProof w:val="0"/>
          <w:color w:val="000000" w:themeColor="text1" w:themeTint="FF" w:themeShade="FF"/>
          <w:sz w:val="24"/>
          <w:szCs w:val="24"/>
          <w:lang w:val="es"/>
        </w:rPr>
        <w:t>Ejecución sanción.</w:t>
      </w:r>
    </w:p>
    <w:p w:rsidR="71145355" w:rsidP="35B2FBC5" w:rsidRDefault="71145355" w14:paraId="10329BFE" w14:textId="197ECC9A">
      <w:pPr>
        <w:spacing w:before="0" w:beforeAutospacing="off" w:after="160" w:afterAutospacing="off" w:line="480" w:lineRule="auto"/>
        <w:ind w:firstLine="708"/>
        <w:jc w:val="both"/>
        <w:rPr>
          <w:rFonts w:ascii="Arial" w:hAnsi="Arial" w:eastAsia="Arial" w:cs="Arial"/>
          <w:noProof w:val="0"/>
          <w:color w:val="000000" w:themeColor="text1" w:themeTint="FF" w:themeShade="FF"/>
          <w:sz w:val="24"/>
          <w:szCs w:val="24"/>
          <w:lang w:val="es-CO"/>
        </w:rPr>
      </w:pPr>
      <w:r w:rsidRPr="35B2FBC5" w:rsidR="371FDAE6">
        <w:rPr>
          <w:rFonts w:ascii="Arial" w:hAnsi="Arial" w:eastAsia="Arial" w:cs="Arial"/>
          <w:noProof w:val="0"/>
          <w:color w:val="000000" w:themeColor="text1" w:themeTint="FF" w:themeShade="FF"/>
          <w:sz w:val="24"/>
          <w:szCs w:val="24"/>
          <w:lang w:val="es-CO"/>
        </w:rPr>
        <w:t xml:space="preserve">En esta línea son atendidos adolescentes y jóvenes que se encuentran en ejecución de la sanción con sanciones privativas y no privativas de la libertad por el delito de violencia intrafamiliar, las víctimas y redes de apoyo, tanto de víctimas como ofensores. Los casos son remitidos por los Jueces con función de Conocimiento (encargados de hacer seguimiento a la sanción según el artículo 147 de la Ley 1098 de 2006), cuando el caso es sugerido por otro actor del SRPA debe ser autorizado por el juez. </w:t>
      </w:r>
    </w:p>
    <w:p w:rsidR="71145355" w:rsidP="35B2FBC5" w:rsidRDefault="71145355" w14:paraId="1D012D7A" w14:textId="604B1891">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
        </w:rPr>
        <w:t xml:space="preserve">El proceso de atención inicia con la selección del caso y la postulación del adolescente o joven por parte del Juez con función de Conocimiento. La postulación se formaliza mediante un oficio ante la Dirección de Responsabilidad Penal Adolescente. </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421C7DCF" w14:textId="2F8BA6FE">
      <w:pPr>
        <w:spacing w:before="0" w:beforeAutospacing="off" w:after="160" w:afterAutospacing="off" w:line="480" w:lineRule="auto"/>
        <w:ind w:firstLine="708"/>
        <w:jc w:val="both"/>
      </w:pPr>
      <w:r w:rsidRPr="35B2FBC5" w:rsidR="3032F080">
        <w:rPr>
          <w:rFonts w:ascii="Arial" w:hAnsi="Arial" w:eastAsia="Arial" w:cs="Arial"/>
          <w:noProof w:val="0"/>
          <w:color w:val="000000" w:themeColor="text1" w:themeTint="FF" w:themeShade="FF"/>
          <w:sz w:val="24"/>
          <w:szCs w:val="24"/>
          <w:lang w:val="es-ES"/>
        </w:rPr>
        <w:t>Recibida la postulación del adolescente o joven la coordinación del Programa asigna un equipo interdisciplinar, el cual inicia con la toma del consentimiento informado del adolescente</w:t>
      </w:r>
      <w:r w:rsidRPr="35B2FBC5" w:rsidR="67DF1EC7">
        <w:rPr>
          <w:rFonts w:ascii="Arial" w:hAnsi="Arial" w:eastAsia="Arial" w:cs="Arial"/>
          <w:noProof w:val="0"/>
          <w:color w:val="000000" w:themeColor="text1" w:themeTint="FF" w:themeShade="FF"/>
          <w:sz w:val="24"/>
          <w:szCs w:val="24"/>
          <w:lang w:val="es-ES"/>
        </w:rPr>
        <w:t>, las redes de apoyo</w:t>
      </w:r>
      <w:r w:rsidRPr="35B2FBC5" w:rsidR="3032F080">
        <w:rPr>
          <w:rFonts w:ascii="Arial" w:hAnsi="Arial" w:eastAsia="Arial" w:cs="Arial"/>
          <w:noProof w:val="0"/>
          <w:color w:val="000000" w:themeColor="text1" w:themeTint="FF" w:themeShade="FF"/>
          <w:sz w:val="24"/>
          <w:szCs w:val="24"/>
          <w:lang w:val="es-ES"/>
        </w:rPr>
        <w:t xml:space="preserve"> y la víctima por separado, revisar el expediente en el juzgado y cerciorarse si el caso puede ser atendido o si requiere remisión a otro tipo de Programas o a alguna institución de salud, previamente.</w:t>
      </w:r>
      <w:r w:rsidRPr="35B2FBC5" w:rsidR="3032F080">
        <w:rPr>
          <w:rFonts w:ascii="Arial" w:hAnsi="Arial" w:eastAsia="Arial" w:cs="Arial"/>
          <w:noProof w:val="0"/>
          <w:color w:val="000000" w:themeColor="text1" w:themeTint="FF" w:themeShade="FF"/>
          <w:sz w:val="24"/>
          <w:szCs w:val="24"/>
          <w:lang w:val="es-ES"/>
        </w:rPr>
        <w:t xml:space="preserve">  La firma del consentimiento informado debe contar con la participación del representante legal del adolescente o joven.</w:t>
      </w:r>
    </w:p>
    <w:p w:rsidR="71145355" w:rsidP="35B2FBC5" w:rsidRDefault="71145355" w14:paraId="430FC5E7" w14:textId="74CB4DE9">
      <w:pPr>
        <w:spacing w:before="0" w:beforeAutospacing="off" w:after="160" w:afterAutospacing="off" w:line="480" w:lineRule="auto"/>
        <w:ind w:firstLine="708"/>
        <w:jc w:val="both"/>
      </w:pPr>
      <w:r w:rsidRPr="35B2FBC5" w:rsidR="3032F080">
        <w:rPr>
          <w:rFonts w:ascii="Arial" w:hAnsi="Arial" w:eastAsia="Arial" w:cs="Arial"/>
          <w:noProof w:val="0"/>
          <w:color w:val="000000" w:themeColor="text1" w:themeTint="FF" w:themeShade="FF"/>
          <w:sz w:val="24"/>
          <w:szCs w:val="24"/>
          <w:lang w:val="es"/>
        </w:rPr>
        <w:t>Suscrito el consentimiento informado se procede a realizar la valoración inicial con el ofensor, la víctima y las redes de apoyo. Esta valoración</w:t>
      </w:r>
      <w:r w:rsidRPr="35B2FBC5" w:rsidR="1E9E66EC">
        <w:rPr>
          <w:rFonts w:ascii="Arial" w:hAnsi="Arial" w:eastAsia="Arial" w:cs="Arial"/>
          <w:noProof w:val="0"/>
          <w:color w:val="000000" w:themeColor="text1" w:themeTint="FF" w:themeShade="FF"/>
          <w:sz w:val="24"/>
          <w:szCs w:val="24"/>
          <w:lang w:val="es"/>
        </w:rPr>
        <w:t>, que tiene un tiempo de dos meses,</w:t>
      </w:r>
      <w:r w:rsidRPr="35B2FBC5" w:rsidR="3032F080">
        <w:rPr>
          <w:rFonts w:ascii="Arial" w:hAnsi="Arial" w:eastAsia="Arial" w:cs="Arial"/>
          <w:noProof w:val="0"/>
          <w:color w:val="000000" w:themeColor="text1" w:themeTint="FF" w:themeShade="FF"/>
          <w:sz w:val="24"/>
          <w:szCs w:val="24"/>
          <w:lang w:val="es"/>
        </w:rPr>
        <w:t xml:space="preserve"> </w:t>
      </w:r>
      <w:r w:rsidRPr="35B2FBC5" w:rsidR="3032F080">
        <w:rPr>
          <w:rFonts w:ascii="Arial" w:hAnsi="Arial" w:eastAsia="Arial" w:cs="Arial"/>
          <w:noProof w:val="0"/>
          <w:color w:val="000000" w:themeColor="text1" w:themeTint="FF" w:themeShade="FF"/>
          <w:sz w:val="24"/>
          <w:szCs w:val="24"/>
          <w:lang w:val="es"/>
        </w:rPr>
        <w:t>permite establecer la estrategia de abordaje del caso y se construye el Plan Integral Restaurativo con objetivos claros, alcanzables y medibles, en cuyo desarrollo se trabajará durante el tiempo de atención.</w:t>
      </w:r>
      <w:r w:rsidRPr="35B2FBC5" w:rsidR="3032F080">
        <w:rPr>
          <w:rFonts w:ascii="Arial" w:hAnsi="Arial" w:eastAsia="Arial" w:cs="Arial"/>
          <w:noProof w:val="0"/>
          <w:color w:val="000000" w:themeColor="text1" w:themeTint="FF" w:themeShade="FF"/>
          <w:sz w:val="24"/>
          <w:szCs w:val="24"/>
          <w:lang w:val="es-CO"/>
        </w:rPr>
        <w:t xml:space="preserve"> </w:t>
      </w:r>
      <w:r w:rsidRPr="35B2FBC5" w:rsidR="1ABBCF78">
        <w:rPr>
          <w:rFonts w:ascii="Arial" w:hAnsi="Arial" w:eastAsia="Arial" w:cs="Arial"/>
          <w:noProof w:val="0"/>
          <w:color w:val="000000" w:themeColor="text1" w:themeTint="FF" w:themeShade="FF"/>
          <w:sz w:val="24"/>
          <w:szCs w:val="24"/>
          <w:lang w:val="es"/>
        </w:rPr>
        <w:t>Una vez definido el Plan Integral Restaurativo este es entregado al juzgado, con el informe inicial.</w:t>
      </w:r>
    </w:p>
    <w:p w:rsidR="71145355" w:rsidP="35B2FBC5" w:rsidRDefault="71145355" w14:paraId="5255D89F" w14:textId="43365470">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
        </w:rPr>
        <w:t xml:space="preserve">Cumplido el tiempo de atención acordado con las autoridades del SRPA y el o la adolescente o joven y una vez que se verifique el cumplimiento de los objetivos trazados en el Plan Integral Restaurativo se presenta un informe final a las autoridades (Juez con función de Conocimiento y Defensoría de Familia) explicando los avances y logros.  </w:t>
      </w: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153F2134" w14:textId="14357AE5">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
        </w:rPr>
        <w:t>Una vez que las autoridades del SRPA constatan el cumplimiento de los objetivos del Plan Integral Restaurativo el Juez con función de Conocimiento decide si la joven continua en la sanción que esta, si sustituye la sanción privativa de la libertad por una no privativa o si da por cumplida la sanción impuesta al adolescente o joven</w:t>
      </w:r>
    </w:p>
    <w:p w:rsidR="71145355" w:rsidP="35B2FBC5" w:rsidRDefault="71145355" w14:paraId="240C2B4A" w14:textId="2D3F8E75">
      <w:pPr>
        <w:spacing w:before="0" w:beforeAutospacing="off" w:after="160" w:afterAutospacing="off" w:line="480" w:lineRule="auto"/>
        <w:ind w:firstLine="708"/>
        <w:jc w:val="both"/>
      </w:pPr>
      <w:r w:rsidRPr="35B2FBC5" w:rsidR="231F1E23">
        <w:rPr>
          <w:rFonts w:ascii="Arial" w:hAnsi="Arial" w:eastAsia="Arial" w:cs="Arial"/>
          <w:noProof w:val="0"/>
          <w:color w:val="000000" w:themeColor="text1" w:themeTint="FF" w:themeShade="FF"/>
          <w:sz w:val="24"/>
          <w:szCs w:val="24"/>
          <w:lang w:val="es"/>
        </w:rPr>
        <w:t>La duración del proceso se define en el Plan Integral Restaurativo. Este tiempo puede ser mayor o menor de acuerdo con situaciones extraordinarias presentadas por las partes.</w:t>
      </w:r>
      <w:r w:rsidRPr="35B2FBC5" w:rsidR="231F1E23">
        <w:rPr>
          <w:rFonts w:ascii="Arial" w:hAnsi="Arial" w:eastAsia="Arial" w:cs="Arial"/>
          <w:noProof w:val="0"/>
          <w:color w:val="000000" w:themeColor="text1" w:themeTint="FF" w:themeShade="FF"/>
          <w:sz w:val="24"/>
          <w:szCs w:val="24"/>
          <w:lang w:val="es-CO"/>
        </w:rPr>
        <w:t xml:space="preserve"> </w:t>
      </w:r>
    </w:p>
    <w:p w:rsidR="71145355" w:rsidP="35B2FBC5" w:rsidRDefault="71145355" w14:paraId="01A0B1BB" w14:textId="231350A5">
      <w:pPr>
        <w:pStyle w:val="Prrafodelista"/>
        <w:spacing w:before="0" w:beforeAutospacing="off" w:after="0" w:afterAutospacing="off" w:line="480" w:lineRule="auto"/>
        <w:ind w:left="709" w:right="0" w:hanging="0"/>
        <w:jc w:val="both"/>
        <w:rPr>
          <w:rFonts w:ascii="Arial" w:hAnsi="Arial" w:eastAsia="Arial" w:cs="Arial"/>
          <w:b w:val="1"/>
          <w:bCs w:val="1"/>
          <w:noProof w:val="0"/>
          <w:color w:val="000000" w:themeColor="text1" w:themeTint="FF" w:themeShade="FF"/>
          <w:sz w:val="24"/>
          <w:szCs w:val="24"/>
          <w:lang w:val="es-CO"/>
        </w:rPr>
      </w:pPr>
    </w:p>
    <w:p w:rsidR="71145355" w:rsidP="35B2FBC5" w:rsidRDefault="71145355" w14:paraId="6BED440C" w14:textId="598D7D79">
      <w:pPr>
        <w:pStyle w:val="Prrafodelista"/>
        <w:spacing w:before="0" w:beforeAutospacing="off" w:after="0" w:afterAutospacing="off" w:line="480" w:lineRule="auto"/>
        <w:ind w:left="709" w:right="0" w:hanging="0"/>
        <w:jc w:val="both"/>
        <w:rPr>
          <w:rFonts w:ascii="Arial" w:hAnsi="Arial" w:eastAsia="Arial" w:cs="Arial"/>
          <w:b w:val="1"/>
          <w:bCs w:val="1"/>
          <w:noProof w:val="0"/>
          <w:color w:val="000000" w:themeColor="text1" w:themeTint="FF" w:themeShade="FF"/>
          <w:sz w:val="24"/>
          <w:szCs w:val="24"/>
          <w:lang w:val="es-CO"/>
        </w:rPr>
      </w:pPr>
      <w:r w:rsidRPr="35B2FBC5" w:rsidR="231F1E23">
        <w:rPr>
          <w:rFonts w:ascii="Arial" w:hAnsi="Arial" w:eastAsia="Arial" w:cs="Arial"/>
          <w:b w:val="1"/>
          <w:bCs w:val="1"/>
          <w:noProof w:val="0"/>
          <w:color w:val="000000" w:themeColor="text1" w:themeTint="FF" w:themeShade="FF"/>
          <w:sz w:val="24"/>
          <w:szCs w:val="24"/>
          <w:lang w:val="es-CO"/>
        </w:rPr>
        <w:t>Articulación interinstitucional</w:t>
      </w:r>
    </w:p>
    <w:p w:rsidR="71145355" w:rsidP="35B2FBC5" w:rsidRDefault="71145355" w14:paraId="0608216E" w14:textId="057A0F34">
      <w:pPr>
        <w:spacing w:before="0" w:beforeAutospacing="off" w:after="160" w:afterAutospacing="off" w:line="480" w:lineRule="auto"/>
        <w:ind w:firstLine="708"/>
        <w:jc w:val="both"/>
        <w:rPr>
          <w:rFonts w:ascii="Arial" w:hAnsi="Arial" w:eastAsia="Arial" w:cs="Arial"/>
          <w:noProof w:val="0"/>
          <w:color w:val="000000" w:themeColor="text1" w:themeTint="FF" w:themeShade="FF"/>
          <w:sz w:val="24"/>
          <w:szCs w:val="24"/>
          <w:lang w:val="es-CO"/>
        </w:rPr>
      </w:pPr>
      <w:r w:rsidRPr="35B2FBC5" w:rsidR="231F1E23">
        <w:rPr>
          <w:rFonts w:ascii="Arial" w:hAnsi="Arial" w:eastAsia="Arial" w:cs="Arial"/>
          <w:noProof w:val="0"/>
          <w:color w:val="000000" w:themeColor="text1" w:themeTint="FF" w:themeShade="FF"/>
          <w:sz w:val="24"/>
          <w:szCs w:val="24"/>
          <w:lang w:val="es-CO"/>
        </w:rPr>
        <w:t>La articulación interinstitucional es uno de los pilares para el adecuado funcionamiento de las rutas de remisión, asimismo permite realizar un seguimiento desde el apoyo y el control a los casos.</w:t>
      </w:r>
      <w:r w:rsidRPr="35B2FBC5" w:rsidR="231F1E23">
        <w:rPr>
          <w:rFonts w:ascii="Arial" w:hAnsi="Arial" w:eastAsia="Arial" w:cs="Arial"/>
          <w:noProof w:val="0"/>
          <w:color w:val="000000" w:themeColor="text1" w:themeTint="FF" w:themeShade="FF"/>
          <w:sz w:val="24"/>
          <w:szCs w:val="24"/>
          <w:lang w:val="es-CO"/>
        </w:rPr>
        <w:t xml:space="preserve"> La articulación interinstitucional para estos</w:t>
      </w:r>
      <w:r w:rsidRPr="35B2FBC5" w:rsidR="1ABBCF78">
        <w:rPr>
          <w:rFonts w:ascii="Arial" w:hAnsi="Arial" w:eastAsia="Arial" w:cs="Arial"/>
          <w:noProof w:val="0"/>
          <w:color w:val="000000" w:themeColor="text1" w:themeTint="FF" w:themeShade="FF"/>
          <w:sz w:val="24"/>
          <w:szCs w:val="24"/>
          <w:lang w:val="es-CO"/>
        </w:rPr>
        <w:t xml:space="preserve"> procesos se materializa de la siguiente manera:</w:t>
      </w:r>
    </w:p>
    <w:p w:rsidR="71145355" w:rsidP="35B2FBC5" w:rsidRDefault="71145355" w14:paraId="4E20D545" w14:textId="4C1973E5">
      <w:pPr>
        <w:pStyle w:val="Prrafodelista"/>
        <w:numPr>
          <w:ilvl w:val="0"/>
          <w:numId w:val="49"/>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Estudios de caso</w:t>
      </w:r>
    </w:p>
    <w:p w:rsidR="71145355" w:rsidP="35B2FBC5" w:rsidRDefault="71145355" w14:paraId="29269A0E" w14:textId="11D7FCA7">
      <w:pPr>
        <w:pStyle w:val="Prrafodelista"/>
        <w:numPr>
          <w:ilvl w:val="0"/>
          <w:numId w:val="49"/>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Seguimientos</w:t>
      </w:r>
    </w:p>
    <w:p w:rsidR="71145355" w:rsidP="35B2FBC5" w:rsidRDefault="71145355" w14:paraId="401574CD" w14:textId="615218BF">
      <w:pPr>
        <w:pStyle w:val="Prrafodelista"/>
        <w:numPr>
          <w:ilvl w:val="0"/>
          <w:numId w:val="49"/>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Reporte de novedades</w:t>
      </w:r>
    </w:p>
    <w:p w:rsidR="71145355" w:rsidP="35B2FBC5" w:rsidRDefault="71145355" w14:paraId="65DA0D84" w14:textId="74B7F4CF">
      <w:pPr>
        <w:pStyle w:val="Prrafodelista"/>
        <w:numPr>
          <w:ilvl w:val="0"/>
          <w:numId w:val="49"/>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Audiencias de seguimiento</w:t>
      </w:r>
    </w:p>
    <w:p w:rsidR="379B9D02" w:rsidP="35B2FBC5" w:rsidRDefault="379B9D02" w14:paraId="01EA6BE8" w14:textId="60593131">
      <w:pPr>
        <w:pStyle w:val="Prrafodelista"/>
        <w:numPr>
          <w:ilvl w:val="0"/>
          <w:numId w:val="49"/>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379B9D02">
        <w:rPr>
          <w:rFonts w:ascii="Arial" w:hAnsi="Arial" w:eastAsia="Arial" w:cs="Arial"/>
          <w:noProof w:val="0"/>
          <w:color w:val="000000" w:themeColor="text1" w:themeTint="FF" w:themeShade="FF"/>
          <w:sz w:val="24"/>
          <w:szCs w:val="24"/>
          <w:lang w:val="es-CO"/>
        </w:rPr>
        <w:t>Reafirmación</w:t>
      </w:r>
      <w:r w:rsidRPr="35B2FBC5" w:rsidR="379B9D02">
        <w:rPr>
          <w:rFonts w:ascii="Arial" w:hAnsi="Arial" w:eastAsia="Arial" w:cs="Arial"/>
          <w:noProof w:val="0"/>
          <w:color w:val="000000" w:themeColor="text1" w:themeTint="FF" w:themeShade="FF"/>
          <w:sz w:val="24"/>
          <w:szCs w:val="24"/>
          <w:lang w:val="es-CO"/>
        </w:rPr>
        <w:t xml:space="preserve"> de compromisos </w:t>
      </w:r>
    </w:p>
    <w:p w:rsidR="71145355" w:rsidP="35B2FBC5" w:rsidRDefault="71145355" w14:paraId="36DD58B8" w14:textId="67116FFC">
      <w:pPr>
        <w:pStyle w:val="Prrafodelista"/>
        <w:numPr>
          <w:ilvl w:val="0"/>
          <w:numId w:val="49"/>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Informes</w:t>
      </w:r>
    </w:p>
    <w:p w:rsidR="71145355" w:rsidP="35B2FBC5" w:rsidRDefault="71145355" w14:paraId="428D831D" w14:textId="2A44FF6F">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Los informes se consideran una herramienta fundamental de comunicación entre las autoridades del SRPA y el PDJJR, por esto deben realizarse de manera periódica de la siguiente manera:</w:t>
      </w:r>
    </w:p>
    <w:p w:rsidR="71145355" w:rsidP="35B2FBC5" w:rsidRDefault="71145355" w14:paraId="19417C70" w14:textId="662B8C68">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Valoraciones víctima y ofensor: son documentos internos del PDJJR, sonde el equipo describe todos los elementos encontrados en las áreas de la vida de las personas atendidas.</w:t>
      </w:r>
    </w:p>
    <w:p w:rsidR="71145355" w:rsidP="35B2FBC5" w:rsidRDefault="71145355" w14:paraId="5B2FDF19" w14:textId="0E4E2F7C">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 inicial: se envía al mes o máximo 45 días desde que se firmó el consentimiento informado junto con el Plan Integral restaurativo.</w:t>
      </w:r>
    </w:p>
    <w:p w:rsidR="71145355" w:rsidP="35B2FBC5" w:rsidRDefault="71145355" w14:paraId="500D45D4" w14:textId="1CC00A77">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Plan Integral Restaurativo: contiene los objetivos que se plantea trabajar durante el proceso restaurativo con el ofensor y victima en cuando a responsabilización, reconocimiento del daño, reparación, reintegración y redes de apoyo.</w:t>
      </w:r>
    </w:p>
    <w:p w:rsidR="71145355" w:rsidP="35B2FBC5" w:rsidRDefault="71145355" w14:paraId="6756C1C2" w14:textId="7E963E27">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Informes de proceso de atención: se realizan cada dos mes y se envían a las autoridades reportando el avances o dificultades de acuerdo con los objetivos planteados en el Plan Integral Restaurativo y que se trabajaron en ese periodo de tiempo.</w:t>
      </w:r>
    </w:p>
    <w:p w:rsidR="71145355" w:rsidP="35B2FBC5" w:rsidRDefault="71145355" w14:paraId="16EF31C7" w14:textId="6FC10B6E">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 Final: una vez se finaliza la reparación y el tiempo de suspensión (para el caso de Principio de oportunidad) se reporta a las autoridades el avance en cuanto a todos los objetivos plateados en el Plan Integral restaurativo, la manera en que se realizó la reparación y el seguimiento que se recomienda realizar.</w:t>
      </w:r>
    </w:p>
    <w:p w:rsidR="71145355" w:rsidP="35B2FBC5" w:rsidRDefault="71145355" w14:paraId="5883D07A" w14:textId="1D5A4F50">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 de Proceso y Mantenimiento: contiene los avances y dificultades que se presentan en la fase de seguimiento.</w:t>
      </w:r>
    </w:p>
    <w:p w:rsidR="71145355" w:rsidP="35B2FBC5" w:rsidRDefault="71145355" w14:paraId="6571C83F" w14:textId="76B7728B">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Concepto Integral de Cierre: es el informe que se envía al finalizar los 6 meses de seguimiento, explicando la situación actual de las partes al momento del cierre del proceso.</w:t>
      </w:r>
    </w:p>
    <w:p w:rsidR="71145355" w:rsidP="35B2FBC5" w:rsidRDefault="71145355" w14:paraId="7B7DD336" w14:textId="55A47778">
      <w:pPr>
        <w:pStyle w:val="Prrafodelista"/>
        <w:numPr>
          <w:ilvl w:val="0"/>
          <w:numId w:val="50"/>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 extraordinario: se envía a las autoridades en cualquier momento del proceso que se presente alguna novedad en el proceso que interfiera de alguna manera en el proceso y en la vida de las personas.</w:t>
      </w:r>
    </w:p>
    <w:p w:rsidR="71145355" w:rsidP="35B2FBC5" w:rsidRDefault="71145355" w14:paraId="0496D6DA" w14:textId="10D2C3F8">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Para la remisión de casos en la ruta de prevención se realizan aproximadamente 3 informes:</w:t>
      </w:r>
    </w:p>
    <w:p w:rsidR="71145355" w:rsidP="35B2FBC5" w:rsidRDefault="71145355" w14:paraId="31AEA126" w14:textId="116C2F53">
      <w:pPr>
        <w:pStyle w:val="Prrafodelista"/>
        <w:numPr>
          <w:ilvl w:val="0"/>
          <w:numId w:val="51"/>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 1: reporte los factores protectores identificados y los factores de riesgo asociados a la VIF y vinculación al delito encontrado y la manera en que se van a trabajar; así como las personas que se vincularon desde la red de apoyo</w:t>
      </w:r>
    </w:p>
    <w:p w:rsidR="71145355" w:rsidP="35B2FBC5" w:rsidRDefault="71145355" w14:paraId="0339136E" w14:textId="4E208591">
      <w:pPr>
        <w:pStyle w:val="Prrafodelista"/>
        <w:numPr>
          <w:ilvl w:val="0"/>
          <w:numId w:val="51"/>
        </w:numPr>
        <w:spacing w:before="0" w:beforeAutospacing="off" w:after="0" w:afterAutospacing="off" w:line="480" w:lineRule="auto"/>
        <w:ind w:left="720" w:right="0" w:hanging="360"/>
        <w:jc w:val="both"/>
        <w:rPr>
          <w:rFonts w:ascii="Arial" w:hAnsi="Arial" w:eastAsia="Arial" w:cs="Arial"/>
          <w:noProof w:val="0"/>
          <w:color w:val="000000" w:themeColor="text1" w:themeTint="FF" w:themeShade="FF"/>
          <w:sz w:val="24"/>
          <w:szCs w:val="24"/>
          <w:lang w:val="es-CO"/>
        </w:rPr>
      </w:pPr>
      <w:r w:rsidRPr="35B2FBC5" w:rsidR="1ABBCF78">
        <w:rPr>
          <w:rFonts w:ascii="Arial" w:hAnsi="Arial" w:eastAsia="Arial" w:cs="Arial"/>
          <w:noProof w:val="0"/>
          <w:color w:val="000000" w:themeColor="text1" w:themeTint="FF" w:themeShade="FF"/>
          <w:sz w:val="24"/>
          <w:szCs w:val="24"/>
          <w:lang w:val="es-CO"/>
        </w:rPr>
        <w:t>Informe 2: contiene los avances en cuanto a los factores de riesgo trabajados, las dificultades y los avances.</w:t>
      </w:r>
    </w:p>
    <w:p w:rsidR="71145355" w:rsidP="35B2FBC5" w:rsidRDefault="71145355" w14:paraId="6C2DA638" w14:textId="43B3BD0B">
      <w:pPr>
        <w:pStyle w:val="Prrafodelista"/>
        <w:numPr>
          <w:ilvl w:val="0"/>
          <w:numId w:val="51"/>
        </w:numPr>
        <w:spacing w:before="0" w:beforeAutospacing="off" w:after="0" w:afterAutospacing="off" w:line="480" w:lineRule="auto"/>
        <w:ind w:left="720" w:right="0" w:hanging="360"/>
        <w:jc w:val="both"/>
        <w:rPr>
          <w:rFonts w:ascii="Calibri" w:hAnsi="Calibri" w:eastAsia="Calibri" w:cs="Calibri"/>
          <w:noProof w:val="0"/>
          <w:sz w:val="22"/>
          <w:szCs w:val="22"/>
          <w:lang w:val="es-CO"/>
        </w:rPr>
      </w:pPr>
      <w:r w:rsidRPr="35B2FBC5" w:rsidR="1ABBCF78">
        <w:rPr>
          <w:rFonts w:ascii="Arial" w:hAnsi="Arial" w:eastAsia="Arial" w:cs="Arial"/>
          <w:noProof w:val="0"/>
          <w:color w:val="000000" w:themeColor="text1" w:themeTint="FF" w:themeShade="FF"/>
          <w:sz w:val="24"/>
          <w:szCs w:val="24"/>
          <w:lang w:val="es-CO"/>
        </w:rPr>
        <w:t>Informe Final: describe la situación al momento de finalizar la intervención desde el enfoque preventivo/</w:t>
      </w:r>
      <w:r w:rsidRPr="35B2FBC5" w:rsidR="1ABBCF78">
        <w:rPr>
          <w:rFonts w:ascii="Arial" w:hAnsi="Arial" w:eastAsia="Arial" w:cs="Arial"/>
          <w:noProof w:val="0"/>
          <w:color w:val="000000" w:themeColor="text1" w:themeTint="FF" w:themeShade="FF"/>
          <w:sz w:val="24"/>
          <w:szCs w:val="24"/>
          <w:lang w:val="es-CO"/>
        </w:rPr>
        <w:t>proventivo</w:t>
      </w:r>
      <w:r w:rsidRPr="35B2FBC5" w:rsidR="1ABBCF78">
        <w:rPr>
          <w:rFonts w:ascii="Arial" w:hAnsi="Arial" w:eastAsia="Arial" w:cs="Arial"/>
          <w:noProof w:val="0"/>
          <w:color w:val="000000" w:themeColor="text1" w:themeTint="FF" w:themeShade="FF"/>
          <w:sz w:val="24"/>
          <w:szCs w:val="24"/>
          <w:lang w:val="es-CO"/>
        </w:rPr>
        <w:t xml:space="preserve"> y las recomendaciones que se </w:t>
      </w:r>
      <w:r w:rsidRPr="35B2FBC5" w:rsidR="2648FAD7">
        <w:rPr>
          <w:rFonts w:ascii="Arial" w:hAnsi="Arial" w:eastAsia="Arial" w:cs="Arial"/>
          <w:noProof w:val="0"/>
          <w:color w:val="000000" w:themeColor="text1" w:themeTint="FF" w:themeShade="FF"/>
          <w:sz w:val="24"/>
          <w:szCs w:val="24"/>
          <w:lang w:val="es-CO"/>
        </w:rPr>
        <w:t>considera importante mencionar a las autoridades, al adolescente y a su familia.</w:t>
      </w:r>
    </w:p>
    <w:p w:rsidR="71145355" w:rsidP="35B2FBC5" w:rsidRDefault="71145355" w14:paraId="2C1130A3" w14:textId="5AED17F6">
      <w:pPr>
        <w:pStyle w:val="Prrafodelista"/>
        <w:spacing w:before="0" w:beforeAutospacing="off" w:after="0" w:afterAutospacing="off" w:line="480" w:lineRule="auto"/>
        <w:ind w:left="720" w:right="0"/>
        <w:jc w:val="both"/>
        <w:rPr>
          <w:rFonts w:ascii="Arial" w:hAnsi="Arial" w:eastAsia="Arial" w:cs="Arial"/>
          <w:b w:val="1"/>
          <w:bCs w:val="1"/>
          <w:noProof w:val="0"/>
          <w:color w:val="000000" w:themeColor="text1" w:themeTint="FF" w:themeShade="FF"/>
          <w:sz w:val="24"/>
          <w:szCs w:val="24"/>
          <w:lang w:val="es-CO"/>
        </w:rPr>
      </w:pPr>
    </w:p>
    <w:p w:rsidR="2E7BCFCA" w:rsidP="2E7BCFCA" w:rsidRDefault="2E7BCFCA" w14:paraId="602663AF" w14:textId="1172704B">
      <w:pPr>
        <w:pStyle w:val="Prrafodelista"/>
        <w:spacing w:before="0" w:beforeAutospacing="off" w:after="0" w:afterAutospacing="off" w:line="480" w:lineRule="auto"/>
        <w:ind w:left="720" w:right="0"/>
        <w:jc w:val="both"/>
        <w:rPr>
          <w:rFonts w:ascii="Arial" w:hAnsi="Arial" w:eastAsia="Arial" w:cs="Arial"/>
          <w:b w:val="1"/>
          <w:bCs w:val="1"/>
          <w:noProof w:val="0"/>
          <w:color w:val="000000" w:themeColor="text1" w:themeTint="FF" w:themeShade="FF"/>
          <w:sz w:val="24"/>
          <w:szCs w:val="24"/>
          <w:lang w:val="es-CO"/>
        </w:rPr>
      </w:pPr>
    </w:p>
    <w:p w:rsidR="2E7BCFCA" w:rsidP="2E7BCFCA" w:rsidRDefault="2E7BCFCA" w14:paraId="4D40D4BC" w14:textId="1AE0B624">
      <w:pPr>
        <w:pStyle w:val="Prrafodelista"/>
        <w:spacing w:before="0" w:beforeAutospacing="off" w:after="0" w:afterAutospacing="off" w:line="480" w:lineRule="auto"/>
        <w:ind w:left="720" w:right="0"/>
        <w:jc w:val="both"/>
        <w:rPr>
          <w:rFonts w:ascii="Arial" w:hAnsi="Arial" w:eastAsia="Arial" w:cs="Arial"/>
          <w:b w:val="1"/>
          <w:bCs w:val="1"/>
          <w:noProof w:val="0"/>
          <w:color w:val="000000" w:themeColor="text1" w:themeTint="FF" w:themeShade="FF"/>
          <w:sz w:val="24"/>
          <w:szCs w:val="24"/>
          <w:lang w:val="es-CO"/>
        </w:rPr>
      </w:pPr>
    </w:p>
    <w:p w:rsidR="71145355" w:rsidP="35B2FBC5" w:rsidRDefault="71145355" w14:paraId="143AA62C" w14:textId="20E79858">
      <w:pPr>
        <w:pStyle w:val="Normal"/>
        <w:spacing w:before="0" w:beforeAutospacing="off" w:after="0" w:afterAutospacing="off" w:line="480" w:lineRule="auto"/>
        <w:ind w:left="0" w:right="0"/>
        <w:jc w:val="both"/>
        <w:rPr>
          <w:rFonts w:ascii="Arial" w:hAnsi="Arial" w:eastAsia="Arial" w:cs="Arial"/>
          <w:b w:val="1"/>
          <w:bCs w:val="1"/>
          <w:noProof w:val="0"/>
          <w:color w:val="000000" w:themeColor="text1" w:themeTint="FF" w:themeShade="FF"/>
          <w:sz w:val="24"/>
          <w:szCs w:val="24"/>
          <w:lang w:val="es-CO"/>
        </w:rPr>
      </w:pPr>
      <w:r w:rsidRPr="35B2FBC5" w:rsidR="2648FAD7">
        <w:rPr>
          <w:rFonts w:ascii="Arial" w:hAnsi="Arial" w:eastAsia="Arial" w:cs="Arial"/>
          <w:b w:val="1"/>
          <w:bCs w:val="1"/>
          <w:noProof w:val="0"/>
          <w:color w:val="000000" w:themeColor="text1" w:themeTint="FF" w:themeShade="FF"/>
          <w:sz w:val="24"/>
          <w:szCs w:val="24"/>
          <w:lang w:val="es-CO"/>
        </w:rPr>
        <w:t>Equipo</w:t>
      </w:r>
    </w:p>
    <w:p w:rsidR="71145355" w:rsidP="35B2FBC5" w:rsidRDefault="71145355" w14:paraId="01BC9589" w14:textId="23966124">
      <w:pPr>
        <w:pStyle w:val="Normal"/>
        <w:spacing w:before="0" w:beforeAutospacing="off" w:after="160" w:afterAutospacing="off" w:line="480" w:lineRule="auto"/>
        <w:ind w:left="0" w:firstLine="708"/>
        <w:jc w:val="both"/>
        <w:rPr>
          <w:rFonts w:ascii="Arial" w:hAnsi="Arial" w:eastAsia="Arial" w:cs="Arial"/>
          <w:noProof w:val="0"/>
          <w:color w:val="000000" w:themeColor="text1" w:themeTint="FF" w:themeShade="FF"/>
          <w:sz w:val="22"/>
          <w:szCs w:val="22"/>
          <w:lang w:val="es-CO"/>
        </w:rPr>
      </w:pPr>
      <w:r w:rsidRPr="35B2FBC5" w:rsidR="2648FAD7">
        <w:rPr>
          <w:rFonts w:ascii="Arial" w:hAnsi="Arial" w:eastAsia="Arial" w:cs="Arial"/>
          <w:noProof w:val="0"/>
          <w:color w:val="000000" w:themeColor="text1" w:themeTint="FF" w:themeShade="FF"/>
          <w:sz w:val="24"/>
          <w:szCs w:val="24"/>
          <w:lang w:val="es-CO"/>
        </w:rPr>
        <w:t>La violencia intrafamiliar (VIF) es una problemática compleja que no puede abordarse desde una única disciplina, ya que involucra factores emocionales,</w:t>
      </w:r>
      <w:r w:rsidRPr="35B2FBC5" w:rsidR="1ABBCF78">
        <w:rPr>
          <w:rFonts w:ascii="Arial" w:hAnsi="Arial" w:eastAsia="Arial" w:cs="Arial"/>
          <w:noProof w:val="0"/>
          <w:color w:val="000000" w:themeColor="text1" w:themeTint="FF" w:themeShade="FF"/>
          <w:sz w:val="24"/>
          <w:szCs w:val="24"/>
          <w:lang w:val="es-CO"/>
        </w:rPr>
        <w:t xml:space="preserve"> personales, sociales, culturales y legales que requieren de un análisis y una intervención multifacética. Para lograr transformaciones exitosas, es esencial poner en diálogo diversas disciplinas que permitan comprender la magnitud del problema y atender todos sus aspectos. </w:t>
      </w:r>
      <w:r w:rsidRPr="35B2FBC5" w:rsidR="1ABBCF78">
        <w:rPr>
          <w:rFonts w:ascii="Arial" w:hAnsi="Arial" w:eastAsia="Arial" w:cs="Arial"/>
          <w:noProof w:val="0"/>
          <w:color w:val="000000" w:themeColor="text1" w:themeTint="FF" w:themeShade="FF"/>
          <w:sz w:val="24"/>
          <w:szCs w:val="24"/>
          <w:lang w:val="es-CO"/>
        </w:rPr>
        <w:t>En este sentido, el Programa Distrital de Justicia Juvenil Restaurativa (PDJJR) se basa en un enfoque interdisciplinario que combina diferentes metodologías y enfoques, buscando no solo comprender los hechos en su totalidad, sino también ofrecer intervenciones más eficaces.</w:t>
      </w:r>
      <w:r w:rsidRPr="35B2FBC5" w:rsidR="1ABBCF78">
        <w:rPr>
          <w:rFonts w:ascii="Arial" w:hAnsi="Arial" w:eastAsia="Arial" w:cs="Arial"/>
          <w:noProof w:val="0"/>
          <w:color w:val="000000" w:themeColor="text1" w:themeTint="FF" w:themeShade="FF"/>
          <w:sz w:val="24"/>
          <w:szCs w:val="24"/>
          <w:lang w:val="es-CO"/>
        </w:rPr>
        <w:t xml:space="preserve"> De acuerdo con Agazzi (2004), la cooperación entre disciplinas no solo amplía el conocimiento y las herramientas de intervención, sino que también reduce la probabilidad de sesgos, asegurando una atención integral y precisa.</w:t>
      </w:r>
    </w:p>
    <w:p w:rsidR="71145355" w:rsidP="35B2FBC5" w:rsidRDefault="71145355" w14:paraId="3EC740E7" w14:textId="1756E718">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El trabajo interdisciplinario dentro del PDJJR se materializa en diversas acciones y metodologías que facilitan una intervención más completa. Esto incluye reuniones para la construcción de Planes Integrales Restaurativos (PIR), en las cuales los equipos profesionales trabajan de manera colaborativa para desarrollar hipótesis y establecer objetivos de intervención claros y alcanzables. Además, se realizan seguimientos interdisciplinares quincenales en los que se socializan los avances y dificultades identificadas, permitiendo priorizar los objetivos a trabajar. Una de las estrategias clave del programa es la activación de rutas de atención especializadas, lo que permite orientar y derivar a las familias hacia otros servicios cuando sea necesario, garantizando que todas las dimensiones del conflicto sean atendidas.</w:t>
      </w:r>
    </w:p>
    <w:p w:rsidR="71145355" w:rsidP="35B2FBC5" w:rsidRDefault="71145355" w14:paraId="5AA99921" w14:textId="06AF5B09">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El PDJJR también pone énfasis en la planeación de sesiones individuales, familiares y grupales, buscando generar sinergias entre las diferentes herramientas de intervención utilizadas por cada área del equipo. Este enfoque permite maximizar el impacto de cada espacio de intervención, promoviendo la reflexión, la motivación al cambio y el aprendizaje permanente, elementos fundamentales para la transformación de las dinámicas familiares conflictivas. La comunicación permanente entre los miembros del equipo interdisciplinario asegura respuestas oportunas y eficaces ante cualquier novedad o situación imprevista que pueda surgir durante el proceso.</w:t>
      </w:r>
    </w:p>
    <w:p w:rsidR="71145355" w:rsidP="35B2FBC5" w:rsidRDefault="71145355" w14:paraId="6BCCA273" w14:textId="5DD7A590">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El equipo profesional que conforma el PDJJR está compuesto por una variedad de especialistas, incluyendo psicólogos, trabajadores sociales, pedagogos y artistas, quienes aportan sus conocimientos y enfoques específicos para atender las necesidades emocionales, sociales y educativas de los adolescentes, las víctimas y sus familias.</w:t>
      </w:r>
      <w:r w:rsidRPr="35B2FBC5" w:rsidR="1ABBCF78">
        <w:rPr>
          <w:rFonts w:ascii="Arial" w:hAnsi="Arial" w:eastAsia="Arial" w:cs="Arial"/>
          <w:noProof w:val="0"/>
          <w:color w:val="000000" w:themeColor="text1" w:themeTint="FF" w:themeShade="FF"/>
          <w:sz w:val="24"/>
          <w:szCs w:val="24"/>
          <w:lang w:val="es-CO"/>
        </w:rPr>
        <w:t xml:space="preserve"> La colaboración entre estos profesionales es esencial para fomentar un proceso restaurativo que no solo busque la reparación del daño y la reflexión, sino también la reintegración social de los involucrados. </w:t>
      </w:r>
      <w:r w:rsidRPr="35B2FBC5" w:rsidR="1ABBCF78">
        <w:rPr>
          <w:rFonts w:ascii="Arial" w:hAnsi="Arial" w:eastAsia="Arial" w:cs="Arial"/>
          <w:noProof w:val="0"/>
          <w:color w:val="000000" w:themeColor="text1" w:themeTint="FF" w:themeShade="FF"/>
          <w:sz w:val="24"/>
          <w:szCs w:val="24"/>
          <w:lang w:val="es-CO"/>
        </w:rPr>
        <w:t>Cada uno de los especialistas contribuye con su experiencia para crear un espacio de cooperación y respuesta que permita una intervención más efectiva y transformadora, teniendo siempre en cuenta el contexto cultural, social y emocional de los participantes.</w:t>
      </w:r>
      <w:r w:rsidRPr="35B2FBC5" w:rsidR="1ABBCF78">
        <w:rPr>
          <w:rFonts w:ascii="Arial" w:hAnsi="Arial" w:eastAsia="Arial" w:cs="Arial"/>
          <w:noProof w:val="0"/>
          <w:color w:val="000000" w:themeColor="text1" w:themeTint="FF" w:themeShade="FF"/>
          <w:sz w:val="24"/>
          <w:szCs w:val="24"/>
          <w:lang w:val="es-CO"/>
        </w:rPr>
        <w:t xml:space="preserve"> Este enfoque integral y cooperativo se presenta como una alternativa para enfrentar la violencia intrafamiliar, brindando un apoyo sólido y adecuado a todos los involucrados en el proceso. Cabe recalcar que todos los profesionales cuentan con experiencia en atención a población vulnerable y experiencia en el ciclo vital.  </w:t>
      </w:r>
    </w:p>
    <w:p w:rsidR="71145355" w:rsidP="35B2FBC5" w:rsidRDefault="71145355" w14:paraId="3933DEAB" w14:textId="02BBBEAB">
      <w:pPr>
        <w:pStyle w:val="Prrafodelista"/>
        <w:spacing w:before="0" w:beforeAutospacing="off" w:after="0" w:afterAutospacing="off" w:line="480" w:lineRule="auto"/>
        <w:ind w:left="360" w:right="0" w:hanging="0"/>
        <w:jc w:val="both"/>
        <w:rPr>
          <w:rFonts w:ascii="Arial" w:hAnsi="Arial" w:eastAsia="Arial" w:cs="Arial"/>
          <w:b w:val="1"/>
          <w:bCs w:val="1"/>
          <w:noProof w:val="0"/>
          <w:color w:val="000000" w:themeColor="text1" w:themeTint="FF" w:themeShade="FF"/>
          <w:sz w:val="24"/>
          <w:szCs w:val="24"/>
          <w:lang w:val="es-CO"/>
        </w:rPr>
      </w:pPr>
      <w:r w:rsidRPr="35B2FBC5" w:rsidR="1ABBCF78">
        <w:rPr>
          <w:rFonts w:ascii="Arial" w:hAnsi="Arial" w:eastAsia="Arial" w:cs="Arial"/>
          <w:b w:val="1"/>
          <w:bCs w:val="1"/>
          <w:noProof w:val="0"/>
          <w:color w:val="000000" w:themeColor="text1" w:themeTint="FF" w:themeShade="FF"/>
          <w:sz w:val="24"/>
          <w:szCs w:val="24"/>
          <w:lang w:val="es-CO"/>
        </w:rPr>
        <w:t xml:space="preserve">Psicología </w:t>
      </w:r>
    </w:p>
    <w:p w:rsidR="71145355" w:rsidP="35B2FBC5" w:rsidRDefault="71145355" w14:paraId="3147A8AA" w14:textId="603AD440">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La psicología de acuerdo con </w:t>
      </w:r>
      <w:r w:rsidRPr="35B2FBC5" w:rsidR="1ABBCF78">
        <w:rPr>
          <w:rFonts w:ascii="Arial" w:hAnsi="Arial" w:eastAsia="Arial" w:cs="Arial"/>
          <w:noProof w:val="0"/>
          <w:color w:val="000000" w:themeColor="text1" w:themeTint="FF" w:themeShade="FF"/>
          <w:sz w:val="24"/>
          <w:szCs w:val="24"/>
          <w:lang w:val="es-CO"/>
        </w:rPr>
        <w:t>Canguilhem</w:t>
      </w:r>
      <w:r w:rsidRPr="35B2FBC5" w:rsidR="1ABBCF78">
        <w:rPr>
          <w:rFonts w:ascii="Arial" w:hAnsi="Arial" w:eastAsia="Arial" w:cs="Arial"/>
          <w:noProof w:val="0"/>
          <w:color w:val="000000" w:themeColor="text1" w:themeTint="FF" w:themeShade="FF"/>
          <w:sz w:val="24"/>
          <w:szCs w:val="24"/>
          <w:lang w:val="es-CO"/>
        </w:rPr>
        <w:t xml:space="preserve">, (1998) es una disciplina compleja que, la cual tiene como objeto de estudio abarcar el comportamiento humano y los procesos mentales, entendidos desde diversas perspectivas como la experimental, clínica, social, educativa, y otras. La psicología se establece como una ciencia empírica y teórica que examina la conducta y los procesos mentales, tomando elementos de distintas áreas del conocimiento y generando un enfoque integrador. </w:t>
      </w:r>
    </w:p>
    <w:p w:rsidR="71145355" w:rsidP="35B2FBC5" w:rsidRDefault="71145355" w14:paraId="08D92766" w14:textId="22DB7173">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  Ahora bien, en el PDJJR la relevancia de una o un psicólogo radica en su capacidad para comprender y tratar los aspectos emocionales y conductuales de los adolescentes, las víctimas y sus familias. Las y los psicólogos desempeñan un papel esencial en la evaluación de las necesidades emocionales y conductuales, ayudando a identificar los factores que pueden haber contribuido a su conducta. A través de la intervención, facilitan procesos de reparación y reintegración, promoviendo la empatía, el autocontrol y la autorregulación. </w:t>
      </w:r>
      <w:r w:rsidRPr="35B2FBC5" w:rsidR="1ABBCF78">
        <w:rPr>
          <w:rFonts w:ascii="Arial" w:hAnsi="Arial" w:eastAsia="Arial" w:cs="Arial"/>
          <w:noProof w:val="0"/>
          <w:color w:val="000000" w:themeColor="text1" w:themeTint="FF" w:themeShade="FF"/>
          <w:sz w:val="24"/>
          <w:szCs w:val="24"/>
          <w:lang w:val="es-CO"/>
        </w:rPr>
        <w:t>Además, los psicólogos contribuyen a la creación de un ambiente de diálogo y entendimiento que permite que todas las partes involucradas en un proceso restaurativo participen activamente en la resolución de conflictos y en la construcción de la convivencia.</w:t>
      </w:r>
      <w:r w:rsidRPr="35B2FBC5" w:rsidR="1ABBCF78">
        <w:rPr>
          <w:rFonts w:ascii="Arial" w:hAnsi="Arial" w:eastAsia="Arial" w:cs="Arial"/>
          <w:noProof w:val="0"/>
          <w:color w:val="000000" w:themeColor="text1" w:themeTint="FF" w:themeShade="FF"/>
          <w:sz w:val="24"/>
          <w:szCs w:val="24"/>
          <w:lang w:val="es-CO"/>
        </w:rPr>
        <w:t xml:space="preserve"> Su intervención es clave para que el programa logre sus objetivos, ofreciendo herramientas que fomenten la autorreflexión y el crecimiento personal en el marco de la justicia restaurativa.</w:t>
      </w:r>
    </w:p>
    <w:p w:rsidR="71145355" w:rsidP="35B2FBC5" w:rsidRDefault="71145355" w14:paraId="3526069D" w14:textId="20C56928">
      <w:pPr>
        <w:pStyle w:val="Prrafodelista"/>
        <w:spacing w:before="0" w:beforeAutospacing="off" w:after="0" w:afterAutospacing="off" w:line="480" w:lineRule="auto"/>
        <w:ind w:left="360" w:right="0" w:hanging="0"/>
        <w:jc w:val="both"/>
        <w:rPr>
          <w:rFonts w:ascii="Arial" w:hAnsi="Arial" w:eastAsia="Arial" w:cs="Arial"/>
          <w:b w:val="1"/>
          <w:bCs w:val="1"/>
          <w:noProof w:val="0"/>
          <w:color w:val="000000" w:themeColor="text1" w:themeTint="FF" w:themeShade="FF"/>
          <w:sz w:val="24"/>
          <w:szCs w:val="24"/>
          <w:lang w:val="es-CO"/>
        </w:rPr>
      </w:pPr>
      <w:r w:rsidRPr="35B2FBC5" w:rsidR="1ABBCF78">
        <w:rPr>
          <w:rFonts w:ascii="Arial" w:hAnsi="Arial" w:eastAsia="Arial" w:cs="Arial"/>
          <w:b w:val="1"/>
          <w:bCs w:val="1"/>
          <w:noProof w:val="0"/>
          <w:color w:val="000000" w:themeColor="text1" w:themeTint="FF" w:themeShade="FF"/>
          <w:sz w:val="24"/>
          <w:szCs w:val="24"/>
          <w:lang w:val="es-CO"/>
        </w:rPr>
        <w:t xml:space="preserve">Trabajo social </w:t>
      </w:r>
    </w:p>
    <w:p w:rsidR="71145355" w:rsidP="35B2FBC5" w:rsidRDefault="71145355" w14:paraId="153E2730" w14:textId="798D6179">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El trabajo social, como profesión, ha evolucionado a lo largo del tiempo y ha alcanzado una reconceptualización significativa en América Latina desde 1965, como lo señala Natalio Kisnerman, (1998). Este movimiento desafió la práctica tradicional del servicio social, que muchas veces no consideraba las realidades sociales específicas de la región, promoviendo una mirada crítica y reflexiva que pone en el centro la transformación de las condiciones sociales que generan problemáticas. En el contexto del </w:t>
      </w:r>
      <w:r w:rsidRPr="35B2FBC5" w:rsidR="1808DDCE">
        <w:rPr>
          <w:rFonts w:ascii="Arial" w:hAnsi="Arial" w:eastAsia="Arial" w:cs="Arial"/>
          <w:noProof w:val="0"/>
          <w:color w:val="000000" w:themeColor="text1" w:themeTint="FF" w:themeShade="FF"/>
          <w:sz w:val="24"/>
          <w:szCs w:val="24"/>
          <w:lang w:val="es-CO"/>
        </w:rPr>
        <w:t>PDJJR</w:t>
      </w:r>
      <w:r w:rsidRPr="35B2FBC5" w:rsidR="1ABBCF78">
        <w:rPr>
          <w:rFonts w:ascii="Arial" w:hAnsi="Arial" w:eastAsia="Arial" w:cs="Arial"/>
          <w:noProof w:val="0"/>
          <w:color w:val="000000" w:themeColor="text1" w:themeTint="FF" w:themeShade="FF"/>
          <w:sz w:val="24"/>
          <w:szCs w:val="24"/>
          <w:lang w:val="es-CO"/>
        </w:rPr>
        <w:t xml:space="preserve">, la relevancia del trabajo social se manifiesta en su capacidad para intervenir de manera contextualizada, promoviendo la justicia social y la reparación del daño en una perspectiva integral y comunitaria. </w:t>
      </w:r>
    </w:p>
    <w:p w:rsidR="71145355" w:rsidP="35B2FBC5" w:rsidRDefault="71145355" w14:paraId="5D1C3828" w14:textId="62B39A31">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Los y las profesionales del trabajo social desempeñan un papel en el cual actúan como agentes de cambio que buscan mejorar la calidad de vida y la cohesión social.</w:t>
      </w:r>
      <w:r w:rsidRPr="35B2FBC5" w:rsidR="1ABBCF78">
        <w:rPr>
          <w:rFonts w:ascii="Arial" w:hAnsi="Arial" w:eastAsia="Arial" w:cs="Arial"/>
          <w:noProof w:val="0"/>
          <w:color w:val="000000" w:themeColor="text1" w:themeTint="FF" w:themeShade="FF"/>
          <w:sz w:val="24"/>
          <w:szCs w:val="24"/>
          <w:lang w:val="es-CO"/>
        </w:rPr>
        <w:t xml:space="preserve"> Su labor va más allá de la asistencia individual y se enfoca en la mediación, la evaluación de necesidades, y la facilitación de procesos participativos. Esto implica intervenir con los jóvenes agresores, víctimas, familias y comunidades, identificando las dinámicas que propician el conflicto y trabajando en soluciones que permitan la responsabilización del ofensor y la reparación efectiva a las víctimas. </w:t>
      </w:r>
    </w:p>
    <w:p w:rsidR="71145355" w:rsidP="35B2FBC5" w:rsidRDefault="71145355" w14:paraId="152785A6" w14:textId="4AFDCBF2">
      <w:pPr>
        <w:spacing w:before="0" w:beforeAutospacing="off" w:after="16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Así mismo, los y las trabajadoras sociales integran teorías y prácticas adaptadas a las realidades locales, actuando como mediadores entre diversos actores y promoviendo el respeto por la dignidad humana y la justicia.</w:t>
      </w:r>
      <w:r w:rsidRPr="35B2FBC5" w:rsidR="1ABBCF78">
        <w:rPr>
          <w:rFonts w:ascii="Arial" w:hAnsi="Arial" w:eastAsia="Arial" w:cs="Arial"/>
          <w:noProof w:val="0"/>
          <w:color w:val="000000" w:themeColor="text1" w:themeTint="FF" w:themeShade="FF"/>
          <w:sz w:val="24"/>
          <w:szCs w:val="24"/>
          <w:lang w:val="es-CO"/>
        </w:rPr>
        <w:t xml:space="preserve"> Además, su compromiso ético asegura que la intervención no solo atienda los problemas inmediatos, sino que también busque una transformación social que prevenga futuros delitos y fomente una convivencia pacífica y constructiva.</w:t>
      </w:r>
    </w:p>
    <w:p w:rsidR="71145355" w:rsidP="35B2FBC5" w:rsidRDefault="71145355" w14:paraId="5D0AC043" w14:textId="61ECA5CA">
      <w:pPr>
        <w:spacing w:before="0" w:beforeAutospacing="off" w:after="160" w:afterAutospacing="off" w:line="480" w:lineRule="auto"/>
        <w:ind w:firstLine="708"/>
        <w:jc w:val="both"/>
        <w:rPr>
          <w:rFonts w:ascii="Arial" w:hAnsi="Arial" w:eastAsia="Arial" w:cs="Arial"/>
          <w:b w:val="0"/>
          <w:bCs w:val="0"/>
          <w:i w:val="0"/>
          <w:iCs w:val="0"/>
          <w:strike w:val="0"/>
          <w:dstrike w:val="0"/>
          <w:noProof w:val="0"/>
          <w:color w:val="000000" w:themeColor="text1" w:themeTint="FF" w:themeShade="FF"/>
          <w:sz w:val="24"/>
          <w:szCs w:val="24"/>
          <w:u w:val="none"/>
          <w:lang w:val="es-CO"/>
        </w:rPr>
      </w:pPr>
      <w:r w:rsidRPr="35B2FBC5" w:rsidR="6899D4A4">
        <w:rPr>
          <w:rFonts w:ascii="Arial" w:hAnsi="Arial" w:eastAsia="Arial" w:cs="Arial"/>
          <w:b w:val="0"/>
          <w:bCs w:val="0"/>
          <w:i w:val="0"/>
          <w:iCs w:val="0"/>
          <w:strike w:val="0"/>
          <w:dstrike w:val="0"/>
          <w:noProof w:val="0"/>
          <w:color w:val="000000" w:themeColor="text1" w:themeTint="FF" w:themeShade="FF"/>
          <w:sz w:val="24"/>
          <w:szCs w:val="24"/>
          <w:u w:val="none"/>
          <w:lang w:val="es-CO"/>
        </w:rPr>
        <w:t>Es de esta manera, como el rol del trabajador social se convierte en un pilar fundamental para el proceso, donde vela por la construcción de una paz positiva, está definida por Galtung (2023) como un proceso que va más allá del cese de acciones violentas y trasciende en atender violencias culturales y estructurales, promoviendo el respeto por la dignidad humana de cada una de las personas vinculadas a las atenciones y proveyéndolas de capacidades  para la gestión de conflictos a través de la no-violencia.</w:t>
      </w:r>
      <w:r w:rsidRPr="35B2FBC5" w:rsidR="6899D4A4">
        <w:rPr>
          <w:rFonts w:ascii="Arial" w:hAnsi="Arial" w:eastAsia="Arial" w:cs="Arial"/>
          <w:b w:val="1"/>
          <w:bCs w:val="1"/>
          <w:noProof w:val="0"/>
          <w:color w:val="000000" w:themeColor="text1" w:themeTint="FF" w:themeShade="FF"/>
          <w:sz w:val="24"/>
          <w:szCs w:val="24"/>
          <w:lang w:val="es-CO"/>
        </w:rPr>
        <w:t xml:space="preserve"> </w:t>
      </w:r>
    </w:p>
    <w:p w:rsidR="71145355" w:rsidP="35B2FBC5" w:rsidRDefault="71145355" w14:paraId="29DB346E" w14:textId="7F0FD973">
      <w:pPr>
        <w:pStyle w:val="Prrafodelista"/>
        <w:spacing w:before="0" w:beforeAutospacing="off" w:after="0" w:afterAutospacing="off" w:line="480" w:lineRule="auto"/>
        <w:ind w:left="360" w:right="0" w:hanging="0"/>
        <w:jc w:val="both"/>
        <w:rPr>
          <w:rFonts w:ascii="Arial" w:hAnsi="Arial" w:eastAsia="Arial" w:cs="Arial"/>
          <w:b w:val="1"/>
          <w:bCs w:val="1"/>
          <w:noProof w:val="0"/>
          <w:color w:val="000000" w:themeColor="text1" w:themeTint="FF" w:themeShade="FF"/>
          <w:sz w:val="24"/>
          <w:szCs w:val="24"/>
          <w:lang w:val="es-CO"/>
        </w:rPr>
      </w:pPr>
      <w:r w:rsidRPr="35B2FBC5" w:rsidR="1ABBCF78">
        <w:rPr>
          <w:rFonts w:ascii="Arial" w:hAnsi="Arial" w:eastAsia="Arial" w:cs="Arial"/>
          <w:b w:val="1"/>
          <w:bCs w:val="1"/>
          <w:noProof w:val="0"/>
          <w:color w:val="000000" w:themeColor="text1" w:themeTint="FF" w:themeShade="FF"/>
          <w:sz w:val="24"/>
          <w:szCs w:val="24"/>
          <w:lang w:val="es-CO"/>
        </w:rPr>
        <w:t>Artistas</w:t>
      </w:r>
    </w:p>
    <w:p w:rsidR="71145355" w:rsidP="35B2FBC5" w:rsidRDefault="71145355" w14:paraId="2BA0EAEE" w14:textId="1513113A">
      <w:pPr>
        <w:spacing w:before="240" w:beforeAutospacing="off" w:after="24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El arte, de acuerdo con Gutiérrez y Fernández (2018) en su más amplia expresión, representa una forma de comunicación, reflexión y transformación. En el contexto del PDJJR, la figura del artista cobra una relevancia única, no solo por su capacidad de generar obras, sino por su papel en la transformación de la realidad social y personal de los jóvenes en los procesos. Un artista, de acuerdo con los autores, es un individuo que, más allá de producir, percibe, crea y transmite mensajes que permiten cuestionar, expresar y redibujar el entorno social y emocional.</w:t>
      </w:r>
    </w:p>
    <w:p w:rsidR="71145355" w:rsidP="35B2FBC5" w:rsidRDefault="71145355" w14:paraId="09F4D03C" w14:textId="0F0D5F55">
      <w:pPr>
        <w:spacing w:before="240" w:beforeAutospacing="off" w:after="24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El arte tiene la capacidad de conectar con los aspectos más profundos de la identidad, favoreciendo procesos de autoconocimiento y empatía. Esta práctica no solo fomenta la creatividad y la expresión personal, sino que también permite a los jóvenes entender y reflexionar sobre el impacto de sus acciones en los demás, abriendo un espacio para la reconstrucción de relaciones interpersonales. El arte se convierte, por tanto, en un medio para la restauración de la confianza y el fortalecimiento de la cohesión social, favoreciendo el desarrollo de competencias emocionales y sociales que promuevan una conducta más reflexiva y responsable. El proceso creativo permite a los adolescentes confrontar sus propios conflictos, canalizar sus emociones y encontrar nuevas formas de resolver problemas de manera constructiva.</w:t>
      </w:r>
    </w:p>
    <w:p w:rsidR="71145355" w:rsidP="35B2FBC5" w:rsidRDefault="71145355" w14:paraId="5BDF5047" w14:textId="1975159D">
      <w:pPr>
        <w:pStyle w:val="Prrafodelista"/>
        <w:spacing w:before="0" w:beforeAutospacing="off" w:after="0" w:afterAutospacing="off" w:line="480" w:lineRule="auto"/>
        <w:ind w:left="709" w:right="0" w:hanging="0"/>
        <w:jc w:val="both"/>
        <w:rPr>
          <w:rFonts w:ascii="Arial" w:hAnsi="Arial" w:eastAsia="Arial" w:cs="Arial"/>
          <w:b w:val="1"/>
          <w:bCs w:val="1"/>
          <w:noProof w:val="0"/>
          <w:color w:val="000000" w:themeColor="text1" w:themeTint="FF" w:themeShade="FF"/>
          <w:sz w:val="24"/>
          <w:szCs w:val="24"/>
          <w:lang w:val="es-CO"/>
        </w:rPr>
      </w:pPr>
      <w:r w:rsidRPr="35B2FBC5" w:rsidR="1ABBCF78">
        <w:rPr>
          <w:rFonts w:ascii="Arial" w:hAnsi="Arial" w:eastAsia="Arial" w:cs="Arial"/>
          <w:b w:val="1"/>
          <w:bCs w:val="1"/>
          <w:noProof w:val="0"/>
          <w:color w:val="000000" w:themeColor="text1" w:themeTint="FF" w:themeShade="FF"/>
          <w:sz w:val="24"/>
          <w:szCs w:val="24"/>
          <w:lang w:val="es-CO"/>
        </w:rPr>
        <w:t>Generalidades del proceso de atención en las rutas de Principio de Oportunidad y Ejecución Sanción</w:t>
      </w:r>
    </w:p>
    <w:p w:rsidR="71145355" w:rsidP="35B2FBC5" w:rsidRDefault="71145355" w14:paraId="646BF0A7" w14:textId="77D49355">
      <w:pPr>
        <w:spacing w:before="0" w:beforeAutospacing="off" w:after="160" w:afterAutospacing="off" w:line="480" w:lineRule="auto"/>
        <w:jc w:val="both"/>
      </w:pPr>
      <w:r w:rsidRPr="35B2FBC5" w:rsidR="1ABBCF78">
        <w:rPr>
          <w:rFonts w:ascii="Arial" w:hAnsi="Arial" w:eastAsia="Arial" w:cs="Arial"/>
          <w:noProof w:val="0"/>
          <w:color w:val="000000" w:themeColor="text1" w:themeTint="FF" w:themeShade="FF"/>
          <w:sz w:val="24"/>
          <w:szCs w:val="24"/>
          <w:lang w:val="es-CO"/>
        </w:rPr>
        <w:t>En términos generales, el proceso lo podríamos dividir en tres grandes partes, valoración, atención y seguimiento y cierre.</w:t>
      </w:r>
    </w:p>
    <w:p w:rsidR="71145355" w:rsidP="35B2FBC5" w:rsidRDefault="71145355" w14:paraId="7A4B7719" w14:textId="79526938">
      <w:pPr>
        <w:pStyle w:val="Prrafodelista"/>
        <w:numPr>
          <w:ilvl w:val="0"/>
          <w:numId w:val="55"/>
        </w:numPr>
        <w:spacing w:before="0" w:beforeAutospacing="off" w:after="160" w:afterAutospacing="off" w:line="480" w:lineRule="auto"/>
        <w:ind/>
        <w:jc w:val="both"/>
        <w:rPr>
          <w:rFonts w:ascii="Arial" w:hAnsi="Arial" w:eastAsia="Arial" w:cs="Arial"/>
          <w:b w:val="1"/>
          <w:bCs w:val="1"/>
          <w:noProof w:val="0"/>
          <w:color w:val="000000" w:themeColor="text1" w:themeTint="FF" w:themeShade="FF"/>
          <w:sz w:val="22"/>
          <w:szCs w:val="22"/>
          <w:lang w:val="es-CO"/>
        </w:rPr>
      </w:pPr>
      <w:r w:rsidRPr="35B2FBC5" w:rsidR="1ABBCF78">
        <w:rPr>
          <w:rFonts w:ascii="Arial" w:hAnsi="Arial" w:eastAsia="Arial" w:cs="Arial"/>
          <w:noProof w:val="0"/>
          <w:color w:val="000000" w:themeColor="text1" w:themeTint="FF" w:themeShade="FF"/>
          <w:sz w:val="24"/>
          <w:szCs w:val="24"/>
          <w:lang w:val="es-CO"/>
        </w:rPr>
        <w:t xml:space="preserve"> </w:t>
      </w:r>
      <w:r w:rsidRPr="35B2FBC5" w:rsidR="3032F080">
        <w:rPr>
          <w:rFonts w:ascii="Arial" w:hAnsi="Arial" w:eastAsia="Arial" w:cs="Arial"/>
          <w:b w:val="1"/>
          <w:bCs w:val="1"/>
          <w:noProof w:val="0"/>
          <w:color w:val="000000" w:themeColor="text1" w:themeTint="FF" w:themeShade="FF"/>
          <w:sz w:val="24"/>
          <w:szCs w:val="24"/>
          <w:lang w:val="es-CO"/>
        </w:rPr>
        <w:t xml:space="preserve">Valoración </w:t>
      </w:r>
    </w:p>
    <w:p w:rsidR="71145355" w:rsidP="35B2FBC5" w:rsidRDefault="71145355" w14:paraId="7D4A1450" w14:textId="1D833939">
      <w:pPr>
        <w:spacing w:before="0" w:beforeAutospacing="off" w:after="0" w:afterAutospacing="off" w:line="480" w:lineRule="auto"/>
        <w:ind w:firstLine="708"/>
        <w:jc w:val="both"/>
      </w:pPr>
      <w:r w:rsidRPr="35B2FBC5" w:rsidR="7CF62B19">
        <w:rPr>
          <w:rFonts w:ascii="Arial" w:hAnsi="Arial" w:eastAsia="Arial" w:cs="Arial"/>
          <w:noProof w:val="0"/>
          <w:color w:val="000000" w:themeColor="text1" w:themeTint="FF" w:themeShade="FF"/>
          <w:sz w:val="24"/>
          <w:szCs w:val="24"/>
          <w:lang w:val="es-CO"/>
        </w:rPr>
        <w:t>El proceso del Programa Distrital de Justicia Juvenil Restaurativa (PDJJR) comienza con la recepción de un caso remitido por el SRPA. Un equipo interdisciplinario contacta a las partes involucradas (ofensor, víctima y sus redes de apoyo) para explicar el proceso y solicitar su consentimiento. Si aceptan, se firman los acuerdos correspondientes. Si alguna parte no acepta, se elabora un informe y se desvincula del proceso, enviándolo a las autoridades judiciales.</w:t>
      </w:r>
      <w:r w:rsidRPr="35B2FBC5" w:rsidR="7CF62B19">
        <w:rPr>
          <w:rFonts w:ascii="Arial" w:hAnsi="Arial" w:eastAsia="Arial" w:cs="Arial"/>
          <w:noProof w:val="0"/>
          <w:color w:val="000000" w:themeColor="text1" w:themeTint="FF" w:themeShade="FF"/>
          <w:sz w:val="24"/>
          <w:szCs w:val="24"/>
          <w:lang w:val="es-CO"/>
        </w:rPr>
        <w:t xml:space="preserve"> </w:t>
      </w:r>
    </w:p>
    <w:p w:rsidR="71145355" w:rsidP="35B2FBC5" w:rsidRDefault="71145355" w14:paraId="54169AA1" w14:textId="16AAF786">
      <w:pPr>
        <w:spacing w:before="0" w:beforeAutospacing="off" w:after="0" w:afterAutospacing="off" w:line="480" w:lineRule="auto"/>
        <w:ind w:firstLine="708"/>
        <w:jc w:val="both"/>
      </w:pPr>
      <w:r w:rsidRPr="35B2FBC5" w:rsidR="7CF62B19">
        <w:rPr>
          <w:rFonts w:ascii="Arial" w:hAnsi="Arial" w:eastAsia="Arial" w:cs="Arial"/>
          <w:noProof w:val="0"/>
          <w:color w:val="000000" w:themeColor="text1" w:themeTint="FF" w:themeShade="FF"/>
          <w:sz w:val="24"/>
          <w:szCs w:val="24"/>
          <w:lang w:val="es-CO"/>
        </w:rPr>
        <w:t>Si el proceso avanza con consentimientos, e</w:t>
      </w:r>
      <w:r w:rsidRPr="35B2FBC5" w:rsidR="3032F080">
        <w:rPr>
          <w:rFonts w:ascii="Arial" w:hAnsi="Arial" w:eastAsia="Arial" w:cs="Arial"/>
          <w:noProof w:val="0"/>
          <w:color w:val="000000" w:themeColor="text1" w:themeTint="FF" w:themeShade="FF"/>
          <w:sz w:val="24"/>
          <w:szCs w:val="24"/>
          <w:lang w:val="es-CO"/>
        </w:rPr>
        <w:t xml:space="preserve">l equipo profesional tiene </w:t>
      </w:r>
      <w:r w:rsidRPr="35B2FBC5" w:rsidR="2BC57716">
        <w:rPr>
          <w:rFonts w:ascii="Arial" w:hAnsi="Arial" w:eastAsia="Arial" w:cs="Arial"/>
          <w:noProof w:val="0"/>
          <w:color w:val="000000" w:themeColor="text1" w:themeTint="FF" w:themeShade="FF"/>
          <w:sz w:val="24"/>
          <w:szCs w:val="24"/>
          <w:lang w:val="es-CO"/>
        </w:rPr>
        <w:t xml:space="preserve">dos </w:t>
      </w:r>
      <w:r w:rsidRPr="35B2FBC5" w:rsidR="3032F080">
        <w:rPr>
          <w:rFonts w:ascii="Arial" w:hAnsi="Arial" w:eastAsia="Arial" w:cs="Arial"/>
          <w:noProof w:val="0"/>
          <w:color w:val="000000" w:themeColor="text1" w:themeTint="FF" w:themeShade="FF"/>
          <w:sz w:val="24"/>
          <w:szCs w:val="24"/>
          <w:lang w:val="es-CO"/>
        </w:rPr>
        <w:t>mes</w:t>
      </w:r>
      <w:r w:rsidRPr="35B2FBC5" w:rsidR="7B89574C">
        <w:rPr>
          <w:rFonts w:ascii="Arial" w:hAnsi="Arial" w:eastAsia="Arial" w:cs="Arial"/>
          <w:noProof w:val="0"/>
          <w:color w:val="000000" w:themeColor="text1" w:themeTint="FF" w:themeShade="FF"/>
          <w:sz w:val="24"/>
          <w:szCs w:val="24"/>
          <w:lang w:val="es-CO"/>
        </w:rPr>
        <w:t>es</w:t>
      </w:r>
      <w:r w:rsidRPr="35B2FBC5" w:rsidR="3032F080">
        <w:rPr>
          <w:rFonts w:ascii="Arial" w:hAnsi="Arial" w:eastAsia="Arial" w:cs="Arial"/>
          <w:noProof w:val="0"/>
          <w:color w:val="000000" w:themeColor="text1" w:themeTint="FF" w:themeShade="FF"/>
          <w:sz w:val="24"/>
          <w:szCs w:val="24"/>
          <w:lang w:val="es-CO"/>
        </w:rPr>
        <w:t xml:space="preserve"> para realizar valoraciones tanto al ofensor como a la víctima y sus redes de apoyo, con el fin de identificar los requisitos necesarios para continuar con el proceso restaurativo.</w:t>
      </w:r>
      <w:r w:rsidRPr="35B2FBC5" w:rsidR="3032F080">
        <w:rPr>
          <w:rFonts w:ascii="Arial" w:hAnsi="Arial" w:eastAsia="Arial" w:cs="Arial"/>
          <w:noProof w:val="0"/>
          <w:color w:val="000000" w:themeColor="text1" w:themeTint="FF" w:themeShade="FF"/>
          <w:sz w:val="24"/>
          <w:szCs w:val="24"/>
          <w:lang w:val="es-CO"/>
        </w:rPr>
        <w:t xml:space="preserve"> En este período, se evalúan factores como el consumo de sustancias o problemas de salud mental que podrían requerir atención antes de avanzar en el proceso. Si el caso cumple con los requisitos, se realiza un estudio de caso para determinar si el ofensor está en condiciones de continuar en el proceso restaurativo y si se requieren remisiones adicionales a las autoridades competentes. En función de los resultados del estudio de caso, se decide si el proceso continúa, se suspende, se cierra o sigue con la valoración.</w:t>
      </w:r>
    </w:p>
    <w:p w:rsidR="71145355" w:rsidP="35B2FBC5" w:rsidRDefault="71145355" w14:paraId="77A39522" w14:textId="071ADF42">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 </w:t>
      </w:r>
    </w:p>
    <w:p w:rsidR="71145355" w:rsidP="35B2FBC5" w:rsidRDefault="71145355" w14:paraId="1108933D" w14:textId="4FFAF286">
      <w:pPr>
        <w:spacing w:before="0" w:beforeAutospacing="off" w:after="0" w:afterAutospacing="off" w:line="480" w:lineRule="auto"/>
        <w:ind w:firstLine="708"/>
        <w:jc w:val="both"/>
      </w:pPr>
      <w:r w:rsidRPr="35B2FBC5" w:rsidR="3032F080">
        <w:rPr>
          <w:rFonts w:ascii="Arial" w:hAnsi="Arial" w:eastAsia="Arial" w:cs="Arial"/>
          <w:noProof w:val="0"/>
          <w:color w:val="000000" w:themeColor="text1" w:themeTint="FF" w:themeShade="FF"/>
          <w:sz w:val="24"/>
          <w:szCs w:val="24"/>
          <w:lang w:val="es-CO"/>
        </w:rPr>
        <w:t xml:space="preserve">Dentro de este proceso de valoración, se destaca la importancia de identificar los patrones de pensamiento que normalizan y refuerzan la violencia. Es importante profundizar también los tipos de comunicación que presentan los ofensores y sus familias, evaluar el control de impulsos en toda la red familiar. Se evalúa la presencia o no de </w:t>
      </w:r>
      <w:r w:rsidRPr="35B2FBC5" w:rsidR="2067CFA1">
        <w:rPr>
          <w:rFonts w:ascii="Arial" w:hAnsi="Arial" w:eastAsia="Arial" w:cs="Arial"/>
          <w:noProof w:val="0"/>
          <w:color w:val="000000" w:themeColor="text1" w:themeTint="FF" w:themeShade="FF"/>
          <w:sz w:val="24"/>
          <w:szCs w:val="24"/>
          <w:lang w:val="es-CO"/>
        </w:rPr>
        <w:t>microviolencias</w:t>
      </w:r>
      <w:r w:rsidRPr="35B2FBC5" w:rsidR="3032F080">
        <w:rPr>
          <w:rFonts w:ascii="Arial" w:hAnsi="Arial" w:eastAsia="Arial" w:cs="Arial"/>
          <w:noProof w:val="0"/>
          <w:color w:val="000000" w:themeColor="text1" w:themeTint="FF" w:themeShade="FF"/>
          <w:sz w:val="24"/>
          <w:szCs w:val="24"/>
          <w:lang w:val="es-CO"/>
        </w:rPr>
        <w:t xml:space="preserve"> de género, la disposición a reparar y en las víctimas a ser reparadas. El proceso también se orienta a evaluar los niveles de confianza. Un punto importante en la valoración es evaluar, a partir de la reconstrucción de la historia personal y familiar, si la víctima ha ejercido el rol de ofensora en otras situaciones y el ofensor ha sido víctima.</w:t>
      </w:r>
    </w:p>
    <w:p w:rsidR="6C53C31D" w:rsidP="35B2FBC5" w:rsidRDefault="6C53C31D" w14:paraId="4D1E89D8" w14:textId="792BEF0E">
      <w:pPr>
        <w:spacing w:before="0" w:beforeAutospacing="off" w:after="0" w:afterAutospacing="off" w:line="480" w:lineRule="auto"/>
        <w:ind w:left="0" w:right="0" w:firstLine="708"/>
        <w:jc w:val="both"/>
        <w:rPr>
          <w:rFonts w:ascii="Arial" w:hAnsi="Arial" w:eastAsia="Arial" w:cs="Arial"/>
          <w:b w:val="0"/>
          <w:bCs w:val="0"/>
          <w:i w:val="0"/>
          <w:iCs w:val="0"/>
          <w:strike w:val="0"/>
          <w:dstrike w:val="0"/>
          <w:noProof w:val="0"/>
          <w:color w:val="000000" w:themeColor="text1" w:themeTint="FF" w:themeShade="FF"/>
          <w:sz w:val="24"/>
          <w:szCs w:val="24"/>
          <w:u w:val="none"/>
          <w:lang w:val="es-CO"/>
        </w:rPr>
      </w:pPr>
      <w:r w:rsidRPr="35B2FBC5" w:rsidR="6C53C31D">
        <w:rPr>
          <w:rFonts w:ascii="Arial" w:hAnsi="Arial" w:eastAsia="Arial" w:cs="Arial"/>
          <w:b w:val="0"/>
          <w:bCs w:val="0"/>
          <w:i w:val="0"/>
          <w:iCs w:val="0"/>
          <w:strike w:val="0"/>
          <w:dstrike w:val="0"/>
          <w:noProof w:val="0"/>
          <w:color w:val="000000" w:themeColor="text1" w:themeTint="FF" w:themeShade="FF"/>
          <w:sz w:val="24"/>
          <w:szCs w:val="24"/>
          <w:u w:val="none"/>
          <w:lang w:val="es-CO"/>
        </w:rPr>
        <w:t xml:space="preserve">Según </w:t>
      </w:r>
      <w:r w:rsidRPr="35B2FBC5" w:rsidR="79606A59">
        <w:rPr>
          <w:rFonts w:ascii="Arial" w:hAnsi="Arial" w:eastAsia="Arial" w:cs="Arial"/>
          <w:b w:val="0"/>
          <w:bCs w:val="0"/>
          <w:i w:val="0"/>
          <w:iCs w:val="0"/>
          <w:strike w:val="0"/>
          <w:dstrike w:val="0"/>
          <w:noProof w:val="0"/>
          <w:color w:val="000000" w:themeColor="text1" w:themeTint="FF" w:themeShade="FF"/>
          <w:sz w:val="24"/>
          <w:szCs w:val="24"/>
          <w:u w:val="none"/>
          <w:lang w:val="es-CO"/>
        </w:rPr>
        <w:t>F</w:t>
      </w:r>
      <w:r w:rsidRPr="35B2FBC5" w:rsidR="2139EAA4">
        <w:rPr>
          <w:rFonts w:ascii="Arial" w:hAnsi="Arial" w:eastAsia="Arial" w:cs="Arial"/>
          <w:b w:val="0"/>
          <w:bCs w:val="0"/>
          <w:i w:val="0"/>
          <w:iCs w:val="0"/>
          <w:strike w:val="0"/>
          <w:dstrike w:val="0"/>
          <w:noProof w:val="0"/>
          <w:color w:val="000000" w:themeColor="text1" w:themeTint="FF" w:themeShade="FF"/>
          <w:sz w:val="24"/>
          <w:szCs w:val="24"/>
          <w:u w:val="none"/>
          <w:lang w:val="es-CO"/>
        </w:rPr>
        <w:t>ernández</w:t>
      </w:r>
      <w:r w:rsidRPr="35B2FBC5" w:rsidR="68D8CCBB">
        <w:rPr>
          <w:rFonts w:ascii="Arial" w:hAnsi="Arial" w:eastAsia="Arial" w:cs="Arial"/>
          <w:b w:val="0"/>
          <w:bCs w:val="0"/>
          <w:i w:val="0"/>
          <w:iCs w:val="0"/>
          <w:strike w:val="0"/>
          <w:dstrike w:val="0"/>
          <w:noProof w:val="0"/>
          <w:color w:val="000000" w:themeColor="text1" w:themeTint="FF" w:themeShade="FF"/>
          <w:sz w:val="24"/>
          <w:szCs w:val="24"/>
          <w:u w:val="none"/>
          <w:lang w:val="es-CO"/>
        </w:rPr>
        <w:t xml:space="preserve">, </w:t>
      </w:r>
      <w:r w:rsidRPr="35B2FBC5" w:rsidR="4E8D4CDD">
        <w:rPr>
          <w:rFonts w:ascii="Arial" w:hAnsi="Arial" w:eastAsia="Arial" w:cs="Arial"/>
          <w:b w:val="0"/>
          <w:bCs w:val="0"/>
          <w:i w:val="0"/>
          <w:iCs w:val="0"/>
          <w:strike w:val="0"/>
          <w:dstrike w:val="0"/>
          <w:noProof w:val="0"/>
          <w:color w:val="000000" w:themeColor="text1" w:themeTint="FF" w:themeShade="FF"/>
          <w:sz w:val="24"/>
          <w:szCs w:val="24"/>
          <w:u w:val="none"/>
          <w:lang w:val="es-CO"/>
        </w:rPr>
        <w:t>et al. (</w:t>
      </w:r>
      <w:r w:rsidRPr="35B2FBC5" w:rsidR="6C53C31D">
        <w:rPr>
          <w:rFonts w:ascii="Arial" w:hAnsi="Arial" w:eastAsia="Arial" w:cs="Arial"/>
          <w:b w:val="0"/>
          <w:bCs w:val="0"/>
          <w:i w:val="0"/>
          <w:iCs w:val="0"/>
          <w:strike w:val="0"/>
          <w:dstrike w:val="0"/>
          <w:noProof w:val="0"/>
          <w:color w:val="000000" w:themeColor="text1" w:themeTint="FF" w:themeShade="FF"/>
          <w:sz w:val="24"/>
          <w:szCs w:val="24"/>
          <w:u w:val="none"/>
          <w:lang w:val="es-CO"/>
        </w:rPr>
        <w:t>2017</w:t>
      </w:r>
      <w:r w:rsidRPr="35B2FBC5" w:rsidR="59933114">
        <w:rPr>
          <w:rFonts w:ascii="Arial" w:hAnsi="Arial" w:eastAsia="Arial" w:cs="Arial"/>
          <w:b w:val="0"/>
          <w:bCs w:val="0"/>
          <w:i w:val="0"/>
          <w:iCs w:val="0"/>
          <w:strike w:val="0"/>
          <w:dstrike w:val="0"/>
          <w:noProof w:val="0"/>
          <w:color w:val="000000" w:themeColor="text1" w:themeTint="FF" w:themeShade="FF"/>
          <w:sz w:val="24"/>
          <w:szCs w:val="24"/>
          <w:u w:val="none"/>
          <w:lang w:val="es-CO"/>
        </w:rPr>
        <w:t>)</w:t>
      </w:r>
      <w:r w:rsidRPr="35B2FBC5" w:rsidR="6C53C31D">
        <w:rPr>
          <w:rFonts w:ascii="Arial" w:hAnsi="Arial" w:eastAsia="Arial" w:cs="Arial"/>
          <w:b w:val="0"/>
          <w:bCs w:val="0"/>
          <w:i w:val="0"/>
          <w:iCs w:val="0"/>
          <w:strike w:val="0"/>
          <w:dstrike w:val="0"/>
          <w:noProof w:val="0"/>
          <w:color w:val="000000" w:themeColor="text1" w:themeTint="FF" w:themeShade="FF"/>
          <w:sz w:val="24"/>
          <w:szCs w:val="24"/>
          <w:u w:val="none"/>
          <w:lang w:val="es-CO"/>
        </w:rPr>
        <w:t xml:space="preserve"> “Entre los diversos actores involucrados en un conflicto se establece un ‘sistema de relaciones’ que lo conforma y lo sostiene. Podemos dibujar esta red de relaciones como una ‘telaraña’ que nos permite visualizar el conflicto en su totalidad; entender esta telaraña permite planear formas de intervenir en un conflicto, apuntando a cambiar ciertas relaciones conflictivas entre determinados actores mediante el diálogo y la búsqueda de acuerdos que, al transformarse, crearán una serie de ‘ondas’ en el sistema; es decir, tocarán otros ‘hilos’ y así cambiarán el sistema de relaciones y transformarán el conflicto” (p. 33-34).  </w:t>
      </w:r>
    </w:p>
    <w:p w:rsidR="71145355" w:rsidP="35B2FBC5" w:rsidRDefault="71145355" w14:paraId="36052664" w14:textId="7877689A">
      <w:pPr>
        <w:spacing w:before="0" w:beforeAutospacing="off" w:after="0" w:afterAutospacing="off" w:line="480" w:lineRule="auto"/>
        <w:ind w:left="0" w:right="0" w:firstLine="708"/>
        <w:jc w:val="both"/>
      </w:pPr>
      <w:r w:rsidRPr="35B2FBC5" w:rsidR="7F7C5A11">
        <w:rPr>
          <w:rFonts w:ascii="Arial" w:hAnsi="Arial" w:eastAsia="Arial" w:cs="Arial"/>
          <w:noProof w:val="0"/>
          <w:sz w:val="24"/>
          <w:szCs w:val="24"/>
          <w:lang w:val="es-CO"/>
        </w:rPr>
        <w:t>El proceso de valoración permite realizar un mapeo de los actores y de las relaciones presentes dentro del conflicto. En este sentido, Lederach (2003, como se citó en Fernández et al., s.f.) afirma que “si eres parte del problema, eres parte de la solución”. Esta perspectiva abre el camino para identificar e incorporar referentes personales y familiares que, de forma directa o indirecta, inciden en el conflicto y pueden contribuir significativamente a su transformación, a la reparación de los daños y a la restauración personal de quienes están involucrados.</w:t>
      </w:r>
    </w:p>
    <w:p w:rsidR="71145355" w:rsidP="35B2FBC5" w:rsidRDefault="71145355" w14:paraId="18A13ED9" w14:textId="6767931D">
      <w:pPr>
        <w:spacing w:before="0" w:beforeAutospacing="off" w:after="0" w:afterAutospacing="off" w:line="480" w:lineRule="auto"/>
        <w:ind w:left="0" w:right="0" w:firstLine="708"/>
        <w:jc w:val="both"/>
        <w:rPr>
          <w:rFonts w:ascii="Arial" w:hAnsi="Arial" w:eastAsia="Arial" w:cs="Arial"/>
          <w:b w:val="0"/>
          <w:bCs w:val="0"/>
          <w:i w:val="0"/>
          <w:iCs w:val="0"/>
          <w:strike w:val="0"/>
          <w:dstrike w:val="0"/>
          <w:noProof w:val="0"/>
          <w:color w:val="000000" w:themeColor="text1" w:themeTint="FF" w:themeShade="FF"/>
          <w:sz w:val="24"/>
          <w:szCs w:val="24"/>
          <w:u w:val="none"/>
          <w:lang w:val="es-CO"/>
        </w:rPr>
      </w:pPr>
      <w:r w:rsidRPr="35B2FBC5" w:rsidR="35B2FBC5">
        <w:rPr>
          <w:rFonts w:ascii="Arial" w:hAnsi="Arial" w:eastAsia="Arial" w:cs="Arial"/>
          <w:b w:val="0"/>
          <w:bCs w:val="0"/>
          <w:i w:val="0"/>
          <w:iCs w:val="0"/>
          <w:strike w:val="0"/>
          <w:dstrike w:val="0"/>
          <w:noProof w:val="0"/>
          <w:color w:val="000000" w:themeColor="text1" w:themeTint="FF" w:themeShade="FF"/>
          <w:sz w:val="24"/>
          <w:szCs w:val="24"/>
          <w:u w:val="none"/>
          <w:lang w:val="es-CO"/>
        </w:rPr>
        <w:t xml:space="preserve">Según </w:t>
      </w:r>
      <w:r w:rsidRPr="35B2FBC5" w:rsidR="35B2FBC5">
        <w:rPr>
          <w:rFonts w:ascii="Arial" w:hAnsi="Arial" w:eastAsia="Arial" w:cs="Arial"/>
          <w:b w:val="0"/>
          <w:bCs w:val="0"/>
          <w:i w:val="0"/>
          <w:iCs w:val="0"/>
          <w:strike w:val="0"/>
          <w:dstrike w:val="0"/>
          <w:noProof w:val="0"/>
          <w:color w:val="000000" w:themeColor="text1" w:themeTint="FF" w:themeShade="FF"/>
          <w:sz w:val="24"/>
          <w:szCs w:val="24"/>
          <w:u w:val="none"/>
          <w:lang w:val="es-CO"/>
        </w:rPr>
        <w:t>Hernandez</w:t>
      </w:r>
      <w:r w:rsidRPr="35B2FBC5" w:rsidR="35B2FBC5">
        <w:rPr>
          <w:rFonts w:ascii="Arial" w:hAnsi="Arial" w:eastAsia="Arial" w:cs="Arial"/>
          <w:b w:val="0"/>
          <w:bCs w:val="0"/>
          <w:i w:val="0"/>
          <w:iCs w:val="0"/>
          <w:strike w:val="0"/>
          <w:dstrike w:val="0"/>
          <w:noProof w:val="0"/>
          <w:color w:val="000000" w:themeColor="text1" w:themeTint="FF" w:themeShade="FF"/>
          <w:sz w:val="24"/>
          <w:szCs w:val="24"/>
          <w:u w:val="none"/>
          <w:lang w:val="es-CO"/>
        </w:rPr>
        <w:t xml:space="preserve">, et al. (2017) ““entender los intereses y necesidades que tiene cada actor y que están en juego en ese conflicto facilitará construir acuerdos que tengan en cuenta y respeten sus necesidades más profundas, y a la vez negociar aquellos intereses más </w:t>
      </w:r>
      <w:r w:rsidRPr="35B2FBC5" w:rsidR="35B2FBC5">
        <w:rPr>
          <w:rFonts w:ascii="Arial" w:hAnsi="Arial" w:eastAsia="Arial" w:cs="Arial"/>
          <w:b w:val="0"/>
          <w:bCs w:val="0"/>
          <w:i w:val="0"/>
          <w:iCs w:val="0"/>
          <w:strike w:val="0"/>
          <w:dstrike w:val="0"/>
          <w:noProof w:val="0"/>
          <w:color w:val="000000" w:themeColor="text1" w:themeTint="FF" w:themeShade="FF"/>
          <w:sz w:val="24"/>
          <w:szCs w:val="24"/>
          <w:u w:val="none"/>
          <w:lang w:val="es-CO"/>
        </w:rPr>
        <w:t>superfciales</w:t>
      </w:r>
      <w:r w:rsidRPr="35B2FBC5" w:rsidR="35B2FBC5">
        <w:rPr>
          <w:rFonts w:ascii="Arial" w:hAnsi="Arial" w:eastAsia="Arial" w:cs="Arial"/>
          <w:b w:val="0"/>
          <w:bCs w:val="0"/>
          <w:i w:val="0"/>
          <w:iCs w:val="0"/>
          <w:strike w:val="0"/>
          <w:dstrike w:val="0"/>
          <w:noProof w:val="0"/>
          <w:color w:val="000000" w:themeColor="text1" w:themeTint="FF" w:themeShade="FF"/>
          <w:sz w:val="24"/>
          <w:szCs w:val="24"/>
          <w:u w:val="none"/>
          <w:lang w:val="es-CO"/>
        </w:rPr>
        <w:t>” (p. 35), es por ello que, al ser la valoración un proceso integral donde se da participación activa a cada uno de los actores involucrados en el conflicto, se logra identificar los intereses comunes, intereses opuestos e intereses diferentes y de esta forma resignificar las necesidades de cada uno de ellos y plantear un plan de trabajo para el abordaje del conflicto.</w:t>
      </w:r>
      <w:r>
        <w:br/>
      </w:r>
      <w:r>
        <w:tab/>
      </w:r>
      <w:r w:rsidRPr="35B2FBC5" w:rsidR="1ABBCF78">
        <w:rPr>
          <w:rFonts w:ascii="Arial" w:hAnsi="Arial" w:eastAsia="Arial" w:cs="Arial"/>
          <w:noProof w:val="0"/>
          <w:color w:val="000000" w:themeColor="text1" w:themeTint="FF" w:themeShade="FF"/>
          <w:sz w:val="24"/>
          <w:szCs w:val="24"/>
          <w:lang w:val="es-CO"/>
        </w:rPr>
        <w:t>En conclusión, la valoración implica evaluar todas las áreas de la vida a nivel individual y familiar de la víctima, el ofensor y los demás miembros de familia y redes de apoyo, para así identificar los objetivos a trabajar, revisar las habilidades para la vida, determinar cuáles requieren trabajarse, profundizar en creencias y pensamientos alrededor de la violencia, verificar si hay distorsiones cognitivas que refuercen las dinámicas violentas, identificar y trabajar sobre modelos en la vida de estas personas, conocer el proyecto de vida personal y familiar, entre otros temas.</w:t>
      </w:r>
    </w:p>
    <w:p w:rsidR="71145355" w:rsidP="35B2FBC5" w:rsidRDefault="71145355" w14:paraId="31F26419" w14:textId="434C9A38">
      <w:pPr>
        <w:spacing w:before="0" w:beforeAutospacing="off" w:after="0" w:afterAutospacing="off" w:line="480" w:lineRule="auto"/>
        <w:ind w:firstLine="708"/>
        <w:jc w:val="both"/>
      </w:pPr>
      <w:r w:rsidRPr="35B2FBC5" w:rsidR="3032F080">
        <w:rPr>
          <w:rFonts w:ascii="Arial" w:hAnsi="Arial" w:eastAsia="Arial" w:cs="Arial"/>
          <w:noProof w:val="0"/>
          <w:color w:val="000000" w:themeColor="text1" w:themeTint="FF" w:themeShade="FF"/>
          <w:sz w:val="24"/>
          <w:szCs w:val="24"/>
          <w:lang w:val="es-CO"/>
        </w:rPr>
        <w:t>Cuando se finaliza la fase de valoración, se debe realizar una reunión entre el equipo interdisciplinar para determinar cuál va a ser el Plan Integral Restaurativo (PIR), realizar el informe inicial y diligenciar los formatos de valoración (estos últimos son documentos internos del programa, el PIR e informe inicial se remiten a autoridades). En caso de identificarse que se requiere ampliar el tiempo de valoración por la complejidad del caso, se enviará a las autoridades en un informe extraordinario lo encontrado hasta el momento y la justificación para ampliar esta primera fase.</w:t>
      </w:r>
    </w:p>
    <w:p w:rsidR="36E94E52" w:rsidP="35B2FBC5" w:rsidRDefault="36E94E52" w14:paraId="5068771E" w14:textId="4BF08898">
      <w:pPr>
        <w:spacing w:before="0" w:beforeAutospacing="off" w:after="0" w:afterAutospacing="off" w:line="480" w:lineRule="auto"/>
        <w:ind w:firstLine="708"/>
        <w:jc w:val="both"/>
        <w:rPr>
          <w:rFonts w:ascii="Arial" w:hAnsi="Arial" w:eastAsia="Arial" w:cs="Arial"/>
          <w:noProof w:val="0"/>
          <w:color w:val="000000" w:themeColor="text1" w:themeTint="FF" w:themeShade="FF"/>
          <w:sz w:val="24"/>
          <w:szCs w:val="24"/>
          <w:lang w:val="es-CO"/>
        </w:rPr>
      </w:pPr>
    </w:p>
    <w:p w:rsidR="71145355" w:rsidP="35B2FBC5" w:rsidRDefault="71145355" w14:paraId="05969436" w14:textId="693747F4">
      <w:pPr>
        <w:pStyle w:val="Prrafodelista"/>
        <w:spacing w:before="0" w:beforeAutospacing="off" w:after="0" w:afterAutospacing="off" w:line="480" w:lineRule="auto"/>
        <w:ind w:left="720" w:right="0" w:hanging="360"/>
        <w:jc w:val="both"/>
        <w:rPr>
          <w:rFonts w:ascii="Arial" w:hAnsi="Arial" w:eastAsia="Arial" w:cs="Arial"/>
          <w:b w:val="1"/>
          <w:bCs w:val="1"/>
          <w:noProof w:val="0"/>
          <w:color w:val="000000" w:themeColor="text1" w:themeTint="FF" w:themeShade="FF"/>
          <w:sz w:val="24"/>
          <w:szCs w:val="24"/>
          <w:lang w:val="es-CO"/>
        </w:rPr>
      </w:pPr>
      <w:r w:rsidRPr="35B2FBC5" w:rsidR="1ABBCF78">
        <w:rPr>
          <w:rFonts w:ascii="Arial" w:hAnsi="Arial" w:eastAsia="Arial" w:cs="Arial"/>
          <w:b w:val="1"/>
          <w:bCs w:val="1"/>
          <w:noProof w:val="0"/>
          <w:color w:val="000000" w:themeColor="text1" w:themeTint="FF" w:themeShade="FF"/>
          <w:sz w:val="24"/>
          <w:szCs w:val="24"/>
          <w:lang w:val="es-CO"/>
        </w:rPr>
        <w:t>Intervención</w:t>
      </w:r>
    </w:p>
    <w:p w:rsidR="71145355" w:rsidP="35B2FBC5" w:rsidRDefault="71145355" w14:paraId="6C1F61A1" w14:textId="3252141A">
      <w:pPr>
        <w:pStyle w:val="Normal"/>
        <w:suppressLineNumbers w:val="0"/>
        <w:bidi w:val="0"/>
        <w:spacing w:before="0" w:beforeAutospacing="off" w:after="0" w:afterAutospacing="off" w:line="480" w:lineRule="auto"/>
        <w:ind w:left="0" w:right="0" w:firstLine="708"/>
        <w:jc w:val="both"/>
        <w:rPr>
          <w:rFonts w:ascii="Arial" w:hAnsi="Arial" w:eastAsia="Arial" w:cs="Arial"/>
          <w:noProof w:val="0"/>
          <w:color w:val="000000" w:themeColor="text1" w:themeTint="FF" w:themeShade="FF"/>
          <w:sz w:val="24"/>
          <w:szCs w:val="24"/>
          <w:highlight w:val="yellow"/>
          <w:lang w:val="es-CO"/>
        </w:rPr>
      </w:pPr>
      <w:r w:rsidRPr="35B2FBC5" w:rsidR="3032F080">
        <w:rPr>
          <w:rFonts w:ascii="Arial" w:hAnsi="Arial" w:eastAsia="Arial" w:cs="Arial"/>
          <w:noProof w:val="0"/>
          <w:color w:val="000000" w:themeColor="text1" w:themeTint="FF" w:themeShade="FF"/>
          <w:sz w:val="24"/>
          <w:szCs w:val="24"/>
          <w:lang w:val="es-CO"/>
        </w:rPr>
        <w:t>En la fase de intervención, se inicia a trabajar sobre los objetivos planteados en el PIR. Si durante el proceso surgen situaciones extraordinarias que afecten la viabilidad de este, se analiza si es necesario suspenderlo o cerrarlo. En caso de verse necesario suspender el proceso, se realizan las remisiones necesarias para que el ofensor reciba los tratamientos requeridos, y se elabora un informe extraordinario para informar de la situación a las autoridades judiciales.</w:t>
      </w:r>
      <w:r>
        <w:br/>
      </w:r>
      <w:r>
        <w:tab/>
      </w:r>
      <w:r w:rsidRPr="35B2FBC5" w:rsidR="3032F080">
        <w:rPr>
          <w:rFonts w:ascii="Arial" w:hAnsi="Arial" w:eastAsia="Arial" w:cs="Arial"/>
          <w:noProof w:val="0"/>
          <w:color w:val="000000" w:themeColor="text1" w:themeTint="FF" w:themeShade="FF"/>
          <w:sz w:val="24"/>
          <w:szCs w:val="24"/>
          <w:lang w:val="es-CO"/>
        </w:rPr>
        <w:t xml:space="preserve">En el proceso de intervención dentro de la justicia juvenil restaurativa, los profesionales destacan la importancia de trabajar objetivos como patrones de pensamiento que normalizan la violencia. </w:t>
      </w:r>
      <w:r w:rsidRPr="35B2FBC5" w:rsidR="74FA0EF0">
        <w:rPr>
          <w:rFonts w:ascii="Arial" w:hAnsi="Arial" w:eastAsia="Arial" w:cs="Arial"/>
          <w:noProof w:val="0"/>
          <w:color w:val="000000" w:themeColor="text1" w:themeTint="FF" w:themeShade="FF"/>
          <w:sz w:val="24"/>
          <w:szCs w:val="24"/>
          <w:lang w:val="es-CO"/>
        </w:rPr>
        <w:t>Se</w:t>
      </w:r>
      <w:r w:rsidRPr="35B2FBC5" w:rsidR="3032F080">
        <w:rPr>
          <w:rFonts w:ascii="Arial" w:hAnsi="Arial" w:eastAsia="Arial" w:cs="Arial"/>
          <w:noProof w:val="0"/>
          <w:color w:val="000000" w:themeColor="text1" w:themeTint="FF" w:themeShade="FF"/>
          <w:sz w:val="24"/>
          <w:szCs w:val="24"/>
          <w:lang w:val="es-CO"/>
        </w:rPr>
        <w:t xml:space="preserve"> busca mejorar la comunicación no violenta en los ofensores y sus familias, y el control de impulsos. Además, </w:t>
      </w:r>
      <w:r w:rsidRPr="35B2FBC5" w:rsidR="5AB827BB">
        <w:rPr>
          <w:rFonts w:ascii="Arial" w:hAnsi="Arial" w:eastAsia="Arial" w:cs="Arial"/>
          <w:noProof w:val="0"/>
          <w:color w:val="000000" w:themeColor="text1" w:themeTint="FF" w:themeShade="FF"/>
          <w:sz w:val="24"/>
          <w:szCs w:val="24"/>
          <w:lang w:val="es-CO"/>
        </w:rPr>
        <w:t xml:space="preserve">se </w:t>
      </w:r>
      <w:r w:rsidRPr="35B2FBC5" w:rsidR="3032F080">
        <w:rPr>
          <w:rFonts w:ascii="Arial" w:hAnsi="Arial" w:eastAsia="Arial" w:cs="Arial"/>
          <w:noProof w:val="0"/>
          <w:color w:val="000000" w:themeColor="text1" w:themeTint="FF" w:themeShade="FF"/>
          <w:sz w:val="24"/>
          <w:szCs w:val="24"/>
          <w:lang w:val="es-CO"/>
        </w:rPr>
        <w:t xml:space="preserve">promueve el reconocimiento de </w:t>
      </w:r>
      <w:r w:rsidRPr="35B2FBC5" w:rsidR="3032F080">
        <w:rPr>
          <w:rFonts w:ascii="Arial" w:hAnsi="Arial" w:eastAsia="Arial" w:cs="Arial"/>
          <w:noProof w:val="0"/>
          <w:color w:val="000000" w:themeColor="text1" w:themeTint="FF" w:themeShade="FF"/>
          <w:sz w:val="24"/>
          <w:szCs w:val="24"/>
          <w:lang w:val="es-CO"/>
        </w:rPr>
        <w:t>microviolencias de género. El proceso también se orienta hacia el restablecimiento de la confianza, la creación de ambientes seguros</w:t>
      </w:r>
      <w:r w:rsidRPr="35B2FBC5" w:rsidR="3032F080">
        <w:rPr>
          <w:rFonts w:ascii="Arial" w:hAnsi="Arial" w:eastAsia="Arial" w:cs="Arial"/>
          <w:noProof w:val="0"/>
          <w:color w:val="000000" w:themeColor="text1" w:themeTint="FF" w:themeShade="FF"/>
          <w:sz w:val="24"/>
          <w:szCs w:val="24"/>
          <w:lang w:val="es-CO"/>
        </w:rPr>
        <w:t>.</w:t>
      </w:r>
    </w:p>
    <w:p w:rsidR="71145355" w:rsidP="35B2FBC5" w:rsidRDefault="71145355" w14:paraId="6B09C149" w14:textId="64FFEF77">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Este enfoque se alinea con las perspectivas de Campbell et al. (2020) y Armstrong et al. (2018), quienes destacan la importancia de involucrar a todos los miembros de la familia, incluidos las víctimas, ofensores y redes de apoyo, para que las intervenciones sean efectivas. Este modelo entiende que cada miembro de la familia tiene un impacto significativo en las dinámicas familiares y en la resolución de conflictos. En relación con la reincidencia, la justicia restaurativa (JR) se vincula con modelos como el de Riesgo, Necesidad y Responsabilidad (RNR) y enfoques cognitivo-conductuales, los cuales, según Andrews y </w:t>
      </w:r>
      <w:r w:rsidRPr="35B2FBC5" w:rsidR="1ABBCF78">
        <w:rPr>
          <w:rFonts w:ascii="Arial" w:hAnsi="Arial" w:eastAsia="Arial" w:cs="Arial"/>
          <w:noProof w:val="0"/>
          <w:color w:val="000000" w:themeColor="text1" w:themeTint="FF" w:themeShade="FF"/>
          <w:sz w:val="24"/>
          <w:szCs w:val="24"/>
          <w:lang w:val="es-CO"/>
        </w:rPr>
        <w:t>Bonta</w:t>
      </w:r>
      <w:r w:rsidRPr="35B2FBC5" w:rsidR="1ABBCF78">
        <w:rPr>
          <w:rFonts w:ascii="Arial" w:hAnsi="Arial" w:eastAsia="Arial" w:cs="Arial"/>
          <w:noProof w:val="0"/>
          <w:color w:val="000000" w:themeColor="text1" w:themeTint="FF" w:themeShade="FF"/>
          <w:sz w:val="24"/>
          <w:szCs w:val="24"/>
          <w:lang w:val="es-CO"/>
        </w:rPr>
        <w:t xml:space="preserve"> (2010) y Ward y </w:t>
      </w:r>
      <w:r w:rsidRPr="35B2FBC5" w:rsidR="1ABBCF78">
        <w:rPr>
          <w:rFonts w:ascii="Arial" w:hAnsi="Arial" w:eastAsia="Arial" w:cs="Arial"/>
          <w:noProof w:val="0"/>
          <w:color w:val="000000" w:themeColor="text1" w:themeTint="FF" w:themeShade="FF"/>
          <w:sz w:val="24"/>
          <w:szCs w:val="24"/>
          <w:lang w:val="es-CO"/>
        </w:rPr>
        <w:t>Langlands</w:t>
      </w:r>
      <w:r w:rsidRPr="35B2FBC5" w:rsidR="1ABBCF78">
        <w:rPr>
          <w:rFonts w:ascii="Arial" w:hAnsi="Arial" w:eastAsia="Arial" w:cs="Arial"/>
          <w:noProof w:val="0"/>
          <w:color w:val="000000" w:themeColor="text1" w:themeTint="FF" w:themeShade="FF"/>
          <w:sz w:val="24"/>
          <w:szCs w:val="24"/>
          <w:lang w:val="es-CO"/>
        </w:rPr>
        <w:t xml:space="preserve"> (2009), se centran en la modificación de actitudes criminales a través de la gestión del riesgo. Van Ness y </w:t>
      </w:r>
      <w:r w:rsidRPr="35B2FBC5" w:rsidR="1ABBCF78">
        <w:rPr>
          <w:rFonts w:ascii="Arial" w:hAnsi="Arial" w:eastAsia="Arial" w:cs="Arial"/>
          <w:noProof w:val="0"/>
          <w:color w:val="000000" w:themeColor="text1" w:themeTint="FF" w:themeShade="FF"/>
          <w:sz w:val="24"/>
          <w:szCs w:val="24"/>
          <w:lang w:val="es-CO"/>
        </w:rPr>
        <w:t>Strong</w:t>
      </w:r>
      <w:r w:rsidRPr="35B2FBC5" w:rsidR="1ABBCF78">
        <w:rPr>
          <w:rFonts w:ascii="Arial" w:hAnsi="Arial" w:eastAsia="Arial" w:cs="Arial"/>
          <w:noProof w:val="0"/>
          <w:color w:val="000000" w:themeColor="text1" w:themeTint="FF" w:themeShade="FF"/>
          <w:sz w:val="24"/>
          <w:szCs w:val="24"/>
          <w:lang w:val="es-CO"/>
        </w:rPr>
        <w:t xml:space="preserve"> (2006, 2022) también subrayan que la JR, al ser un proceso social y pedagógico, fomenta la responsabilización del ofensor, la reparación del daño y la reintegración, con el objetivo de restaurar los vínculos sociales y familiares, prevenir la reincidencia y promover un proyecto de vida alejado del delito.</w:t>
      </w:r>
    </w:p>
    <w:p w:rsidR="71145355" w:rsidP="35B2FBC5" w:rsidRDefault="71145355" w14:paraId="30978781" w14:textId="60BA3EE9">
      <w:pPr>
        <w:spacing w:before="0" w:beforeAutospacing="off" w:after="0" w:afterAutospacing="off" w:line="480" w:lineRule="auto"/>
        <w:ind w:firstLine="708"/>
        <w:jc w:val="both"/>
        <w:rPr>
          <w:rFonts w:ascii="Arial" w:hAnsi="Arial" w:eastAsia="Arial" w:cs="Arial"/>
          <w:noProof w:val="0"/>
          <w:color w:val="000000" w:themeColor="text1" w:themeTint="FF" w:themeShade="FF"/>
          <w:sz w:val="24"/>
          <w:szCs w:val="24"/>
          <w:lang w:val="es-CO"/>
        </w:rPr>
      </w:pPr>
      <w:r w:rsidRPr="35B2FBC5" w:rsidR="4657C0B7">
        <w:rPr>
          <w:rFonts w:ascii="Arial" w:hAnsi="Arial" w:eastAsia="Arial" w:cs="Arial"/>
          <w:noProof w:val="0"/>
          <w:color w:val="000000" w:themeColor="text1" w:themeTint="FF" w:themeShade="FF"/>
          <w:sz w:val="24"/>
          <w:szCs w:val="24"/>
          <w:lang w:val="es-CO"/>
        </w:rPr>
        <w:t>En el caso de las víctimas, el proceso de intervención tiene un componente importante relacionado con la identificación y fortalecimiento de recursos propios, reajuste de las áreas de la vida, identificación de daños y necesidades, así como la atención y orientación en situaciones de crisis.</w:t>
      </w:r>
    </w:p>
    <w:p w:rsidR="71145355" w:rsidP="35B2FBC5" w:rsidRDefault="71145355" w14:paraId="779BA04D" w14:textId="6621ADD8">
      <w:pPr>
        <w:spacing w:before="0" w:beforeAutospacing="off" w:after="0" w:afterAutospacing="off" w:line="480" w:lineRule="auto"/>
        <w:ind w:firstLine="708"/>
        <w:jc w:val="both"/>
        <w:rPr>
          <w:rFonts w:ascii="Arial" w:hAnsi="Arial" w:eastAsia="Arial" w:cs="Arial"/>
          <w:noProof w:val="0"/>
          <w:color w:val="000000" w:themeColor="text1" w:themeTint="FF" w:themeShade="FF"/>
          <w:sz w:val="24"/>
          <w:szCs w:val="24"/>
          <w:lang w:val="es-CO"/>
        </w:rPr>
      </w:pPr>
      <w:r>
        <w:br/>
      </w:r>
    </w:p>
    <w:p w:rsidR="71145355" w:rsidP="35B2FBC5" w:rsidRDefault="71145355" w14:paraId="22379691" w14:textId="5232EC21">
      <w:pPr>
        <w:pStyle w:val="Prrafodelista"/>
        <w:spacing w:before="0" w:beforeAutospacing="off" w:after="0" w:afterAutospacing="off" w:line="480" w:lineRule="auto"/>
        <w:ind w:left="720" w:right="0" w:hanging="360"/>
        <w:jc w:val="both"/>
        <w:rPr>
          <w:rFonts w:ascii="Arial" w:hAnsi="Arial" w:eastAsia="Arial" w:cs="Arial"/>
          <w:b w:val="1"/>
          <w:bCs w:val="1"/>
          <w:noProof w:val="0"/>
          <w:color w:val="000000" w:themeColor="text1" w:themeTint="FF" w:themeShade="FF"/>
          <w:sz w:val="24"/>
          <w:szCs w:val="24"/>
          <w:lang w:val="es-CO"/>
        </w:rPr>
      </w:pPr>
      <w:r w:rsidRPr="35B2FBC5" w:rsidR="1ABBCF78">
        <w:rPr>
          <w:rFonts w:ascii="Arial" w:hAnsi="Arial" w:eastAsia="Arial" w:cs="Arial"/>
          <w:b w:val="1"/>
          <w:bCs w:val="1"/>
          <w:noProof w:val="0"/>
          <w:color w:val="000000" w:themeColor="text1" w:themeTint="FF" w:themeShade="FF"/>
          <w:sz w:val="24"/>
          <w:szCs w:val="24"/>
          <w:lang w:val="es-CO"/>
        </w:rPr>
        <w:t xml:space="preserve">Seguimiento y cierre  </w:t>
      </w:r>
    </w:p>
    <w:p w:rsidR="71145355" w:rsidP="35B2FBC5" w:rsidRDefault="71145355" w14:paraId="214A92FC" w14:textId="4550C102">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 xml:space="preserve">Si se decide cerrar el proceso antes de finalizar la intervención en el marco del Plan Integral Restaurativo, se elabora un informe extraordinario que explique los motivos del cierre y se envía a las autoridades judiciales para su archivo. </w:t>
      </w:r>
    </w:p>
    <w:p w:rsidR="71145355" w:rsidP="35B2FBC5" w:rsidRDefault="71145355" w14:paraId="0AB715F5" w14:textId="0B1D137B">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Una vez concluido el proceso restaurativo, se elabora un informe final que describe los resultados obtenidos con respecto al cumplimiento de los objetivos establecidos en el PIR.</w:t>
      </w:r>
      <w:r w:rsidRPr="35B2FBC5" w:rsidR="1ABBCF78">
        <w:rPr>
          <w:rFonts w:ascii="Arial" w:hAnsi="Arial" w:eastAsia="Arial" w:cs="Arial"/>
          <w:noProof w:val="0"/>
          <w:color w:val="000000" w:themeColor="text1" w:themeTint="FF" w:themeShade="FF"/>
          <w:sz w:val="24"/>
          <w:szCs w:val="24"/>
          <w:lang w:val="es-CO"/>
        </w:rPr>
        <w:t xml:space="preserve"> Este informe se envía a las autoridades del SRPA y se archiva en el PDJJR.</w:t>
      </w:r>
    </w:p>
    <w:p w:rsidR="71145355" w:rsidP="35B2FBC5" w:rsidRDefault="71145355" w14:paraId="42FFBB6F" w14:textId="3DC39839">
      <w:pPr>
        <w:spacing w:before="0" w:beforeAutospacing="off" w:after="0" w:afterAutospacing="off" w:line="480" w:lineRule="auto"/>
        <w:ind w:firstLine="708"/>
        <w:jc w:val="both"/>
      </w:pPr>
      <w:r w:rsidRPr="35B2FBC5" w:rsidR="1ABBCF78">
        <w:rPr>
          <w:rFonts w:ascii="Arial" w:hAnsi="Arial" w:eastAsia="Arial" w:cs="Arial"/>
          <w:noProof w:val="0"/>
          <w:color w:val="000000" w:themeColor="text1" w:themeTint="FF" w:themeShade="FF"/>
          <w:sz w:val="24"/>
          <w:szCs w:val="24"/>
          <w:lang w:val="es-CO"/>
        </w:rPr>
        <w:t>Posteriormente, durante los seis meses siguientes al informe final, se realiza un seguimiento al ofensor, las redes de apoyo y la víctima para asegurar que los aprendizajes trabajados en el proceso de intervención se mantengan. El seguimiento se documenta en informes de mantenimiento que se envían a las autoridades del SRPA. Finalmente, después del periodo de seguimiento, se elabora el informe con un concepto integral de cierre que describe la situación de las personas atendidas al finalizar el proceso. Este informe también se envía a las autoridades del SRPA y se archiva en el PDJJR, marcando el cierre oficial del caso.</w:t>
      </w:r>
    </w:p>
    <w:p w:rsidR="71145355" w:rsidP="35B2FBC5" w:rsidRDefault="71145355" w14:paraId="1C12ACF8" w14:textId="621B5480">
      <w:pPr>
        <w:pStyle w:val="Prrafodelista"/>
        <w:spacing w:before="0" w:beforeAutospacing="off" w:after="0" w:afterAutospacing="off" w:line="480" w:lineRule="auto"/>
        <w:ind w:left="1069" w:right="0" w:hanging="360"/>
        <w:jc w:val="both"/>
        <w:rPr>
          <w:rFonts w:ascii="Arial" w:hAnsi="Arial" w:eastAsia="Arial" w:cs="Arial"/>
          <w:b w:val="1"/>
          <w:bCs w:val="1"/>
          <w:noProof w:val="0"/>
          <w:sz w:val="24"/>
          <w:szCs w:val="24"/>
          <w:lang w:val="es-CO"/>
        </w:rPr>
      </w:pPr>
      <w:r w:rsidRPr="35B2FBC5" w:rsidR="1ABBCF78">
        <w:rPr>
          <w:rFonts w:ascii="Arial" w:hAnsi="Arial" w:eastAsia="Arial" w:cs="Arial"/>
          <w:b w:val="1"/>
          <w:bCs w:val="1"/>
          <w:noProof w:val="0"/>
          <w:sz w:val="24"/>
          <w:szCs w:val="24"/>
          <w:lang w:val="es-CO"/>
        </w:rPr>
        <w:t>Generalidades del proceso de prevención</w:t>
      </w:r>
    </w:p>
    <w:p w:rsidR="71145355" w:rsidP="35B2FBC5" w:rsidRDefault="71145355" w14:paraId="1417CD6B" w14:textId="0F136D23">
      <w:pPr>
        <w:spacing w:before="0" w:beforeAutospacing="off" w:after="0" w:afterAutospacing="off" w:line="480" w:lineRule="auto"/>
        <w:jc w:val="both"/>
      </w:pPr>
      <w:r w:rsidRPr="35B2FBC5" w:rsidR="1ABBCF78">
        <w:rPr>
          <w:rFonts w:ascii="Arial" w:hAnsi="Arial" w:eastAsia="Arial" w:cs="Arial"/>
          <w:noProof w:val="0"/>
          <w:sz w:val="24"/>
          <w:szCs w:val="24"/>
          <w:lang w:val="es-CO"/>
        </w:rPr>
        <w:t>El proceso de atención desde el enfoque restaurativo enfocado en la prevención de la violencia intrafamiliar consiste en evaluar las dinámicas relacionales y factores individuales de las personas remitidas para identificar los aspectos y factores de riesgo que pueden favorecer las dinámicas violentas y el escalamiento y normalización de la VIF. Una vez se tengan claros estos elementos, se trabajarán módulos de atención enfocados en las necesidades específicas del caso, teniendo en cuenta los siguientes temas:</w:t>
      </w:r>
    </w:p>
    <w:p w:rsidR="71145355" w:rsidP="35B2FBC5" w:rsidRDefault="71145355" w14:paraId="3D458DCF" w14:textId="7579EFAC">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reconocimiento de las violencias para desnaturalizarlas, cambio de patrones de pensamiento y creencias que normalizan y justifican la violencia</w:t>
      </w:r>
    </w:p>
    <w:p w:rsidR="71145355" w:rsidP="35B2FBC5" w:rsidRDefault="71145355" w14:paraId="7276D2EC" w14:textId="6172F0F6">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reconocimiento de roles</w:t>
      </w:r>
    </w:p>
    <w:p w:rsidR="71145355" w:rsidP="35B2FBC5" w:rsidRDefault="71145355" w14:paraId="3C6743E6" w14:textId="2AF7E8ED">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pautas de crianza</w:t>
      </w:r>
    </w:p>
    <w:p w:rsidR="71145355" w:rsidP="35B2FBC5" w:rsidRDefault="71145355" w14:paraId="17AB1BFD" w14:textId="46DB48D9">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identificación y fortalecimiento de redes de apoyo</w:t>
      </w:r>
    </w:p>
    <w:p w:rsidR="71145355" w:rsidP="35B2FBC5" w:rsidRDefault="71145355" w14:paraId="2F30CC13" w14:textId="58B1B50F">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construcción de vínculos efectivos</w:t>
      </w:r>
    </w:p>
    <w:p w:rsidR="71145355" w:rsidP="35B2FBC5" w:rsidRDefault="71145355" w14:paraId="17FB3AC2" w14:textId="43D0D388">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proyecto de vida familiar</w:t>
      </w:r>
    </w:p>
    <w:p w:rsidR="71145355" w:rsidP="35B2FBC5" w:rsidRDefault="71145355" w14:paraId="6B079B98" w14:textId="509D40D5">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orientar y acompañar en el proceso de responsabilizarse del conflicto y de los daños causados, incentivar esfuerzos personales para el planteamiento de estrategias que permitan manejar los problemas y conflictos de forma creativa y flexible</w:t>
      </w:r>
    </w:p>
    <w:p w:rsidR="71145355" w:rsidP="35B2FBC5" w:rsidRDefault="71145355" w14:paraId="39A1E6C4" w14:textId="24711E32">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elaborar heridas dentro del vínculo familiar</w:t>
      </w:r>
    </w:p>
    <w:p w:rsidR="71145355" w:rsidP="35B2FBC5" w:rsidRDefault="71145355" w14:paraId="648AB201" w14:textId="3DAD0149">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fortalecimiento de habilidades de gestión emocional</w:t>
      </w:r>
    </w:p>
    <w:p w:rsidR="71145355" w:rsidP="35B2FBC5" w:rsidRDefault="71145355" w14:paraId="365720C1" w14:textId="60EBEFEE">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toma de decisiones</w:t>
      </w:r>
    </w:p>
    <w:p w:rsidR="71145355" w:rsidP="35B2FBC5" w:rsidRDefault="71145355" w14:paraId="4BD06A60" w14:textId="34D31B81">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estilos de comunicación, transformar la comunicación violenta en asertiva</w:t>
      </w:r>
    </w:p>
    <w:p w:rsidR="71145355" w:rsidP="35B2FBC5" w:rsidRDefault="71145355" w14:paraId="3B2E06D0" w14:textId="73E0A205">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fortalecimiento de la empatía específica</w:t>
      </w:r>
    </w:p>
    <w:p w:rsidR="71145355" w:rsidP="35B2FBC5" w:rsidRDefault="71145355" w14:paraId="0C21583D" w14:textId="0FFF0844">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aceptación y compromiso</w:t>
      </w:r>
    </w:p>
    <w:p w:rsidR="71145355" w:rsidP="35B2FBC5" w:rsidRDefault="71145355" w14:paraId="1C83CD45" w14:textId="06FF7E39">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el control de impulsos en los ofensores</w:t>
      </w:r>
    </w:p>
    <w:p w:rsidR="71145355" w:rsidP="35B2FBC5" w:rsidRDefault="71145355" w14:paraId="78BC259C" w14:textId="735EE60D">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el reconocimiento y transformación de las </w:t>
      </w:r>
      <w:r w:rsidRPr="35B2FBC5" w:rsidR="1A7ACC9D">
        <w:rPr>
          <w:rFonts w:ascii="Arial" w:hAnsi="Arial" w:eastAsia="Arial" w:cs="Arial"/>
          <w:noProof w:val="0"/>
          <w:sz w:val="24"/>
          <w:szCs w:val="24"/>
          <w:lang w:val="es-CO"/>
        </w:rPr>
        <w:t>microviolencias</w:t>
      </w:r>
      <w:r w:rsidRPr="35B2FBC5" w:rsidR="1ABBCF78">
        <w:rPr>
          <w:rFonts w:ascii="Arial" w:hAnsi="Arial" w:eastAsia="Arial" w:cs="Arial"/>
          <w:noProof w:val="0"/>
          <w:sz w:val="24"/>
          <w:szCs w:val="24"/>
          <w:lang w:val="es-CO"/>
        </w:rPr>
        <w:t xml:space="preserve"> de género</w:t>
      </w:r>
    </w:p>
    <w:p w:rsidR="71145355" w:rsidP="35B2FBC5" w:rsidRDefault="71145355" w14:paraId="29CE6D66" w14:textId="22D6712B">
      <w:pPr>
        <w:pStyle w:val="Prrafodelista"/>
        <w:numPr>
          <w:ilvl w:val="0"/>
          <w:numId w:val="57"/>
        </w:numPr>
        <w:spacing w:before="0" w:beforeAutospacing="off" w:after="0" w:afterAutospacing="off" w:line="480" w:lineRule="auto"/>
        <w:ind w:left="720" w:right="0" w:hanging="360"/>
        <w:jc w:val="both"/>
        <w:rPr>
          <w:rFonts w:ascii="Arial" w:hAnsi="Arial" w:eastAsia="Arial" w:cs="Arial"/>
          <w:noProof w:val="0"/>
          <w:sz w:val="24"/>
          <w:szCs w:val="24"/>
          <w:lang w:val="es-CO"/>
        </w:rPr>
      </w:pPr>
      <w:r w:rsidRPr="35B2FBC5" w:rsidR="1ABBCF78">
        <w:rPr>
          <w:rFonts w:ascii="Arial" w:hAnsi="Arial" w:eastAsia="Arial" w:cs="Arial"/>
          <w:noProof w:val="0"/>
          <w:sz w:val="24"/>
          <w:szCs w:val="24"/>
          <w:lang w:val="es-CO"/>
        </w:rPr>
        <w:t xml:space="preserve">la interiorización y puesta en práctica de herramientas adecuadas para manejar los factores de estrés, y la modificación de patrones agresivos. </w:t>
      </w:r>
    </w:p>
    <w:p w:rsidR="71145355" w:rsidP="35B2FBC5" w:rsidRDefault="71145355" w14:paraId="0B64E108" w14:textId="2077D90E">
      <w:pPr>
        <w:spacing w:before="0" w:beforeAutospacing="off" w:after="0" w:afterAutospacing="off" w:line="480" w:lineRule="auto"/>
        <w:ind w:firstLine="708"/>
        <w:jc w:val="both"/>
      </w:pPr>
      <w:r w:rsidRPr="35B2FBC5" w:rsidR="3032F080">
        <w:rPr>
          <w:rFonts w:ascii="Arial" w:hAnsi="Arial" w:eastAsia="Arial" w:cs="Arial"/>
          <w:noProof w:val="0"/>
          <w:sz w:val="24"/>
          <w:szCs w:val="24"/>
          <w:lang w:val="es-CO"/>
        </w:rPr>
        <w:t xml:space="preserve">Estos temas son los que la literatura y la experiencia que ha consolidado el Programa Distrital de Justicia Juvenil restaurativa han identificado como prioritarios para abordar dinámicas violentas y prevenirlas. </w:t>
      </w:r>
    </w:p>
    <w:p w:rsidR="3DFCBBDA" w:rsidP="35B2FBC5" w:rsidRDefault="3DFCBBDA" w14:paraId="35C44FA0" w14:textId="3739FD8C">
      <w:pPr>
        <w:spacing w:before="0" w:beforeAutospacing="off" w:after="0" w:afterAutospacing="off" w:line="480" w:lineRule="auto"/>
        <w:ind w:firstLine="709"/>
        <w:jc w:val="both"/>
        <w:rPr>
          <w:rFonts w:ascii="Arial" w:hAnsi="Arial" w:eastAsia="Arial" w:cs="Arial"/>
          <w:noProof w:val="0"/>
          <w:sz w:val="24"/>
          <w:szCs w:val="24"/>
          <w:lang w:val="es-CO"/>
        </w:rPr>
      </w:pPr>
      <w:r w:rsidRPr="35B2FBC5" w:rsidR="3F588B0B">
        <w:rPr>
          <w:rFonts w:ascii="Arial" w:hAnsi="Arial" w:eastAsia="Arial" w:cs="Arial"/>
          <w:b w:val="1"/>
          <w:bCs w:val="1"/>
          <w:noProof w:val="0"/>
          <w:sz w:val="24"/>
          <w:szCs w:val="24"/>
          <w:lang w:val="es-CO"/>
        </w:rPr>
        <w:t>Justificación</w:t>
      </w:r>
      <w:r>
        <w:br/>
      </w:r>
      <w:r w:rsidRPr="35B2FBC5" w:rsidR="3F588B0B">
        <w:rPr>
          <w:rFonts w:ascii="Calibri" w:hAnsi="Calibri" w:eastAsia="Calibri" w:cs="Calibri"/>
          <w:noProof w:val="0"/>
          <w:sz w:val="22"/>
          <w:szCs w:val="22"/>
          <w:lang w:val="es-CO"/>
        </w:rPr>
        <w:t xml:space="preserve"> </w:t>
      </w:r>
      <w:r>
        <w:tab/>
      </w:r>
      <w:r w:rsidRPr="35B2FBC5" w:rsidR="36A5C933">
        <w:rPr>
          <w:rFonts w:ascii="Arial" w:hAnsi="Arial" w:eastAsia="Arial" w:cs="Arial"/>
          <w:noProof w:val="0"/>
          <w:sz w:val="24"/>
          <w:szCs w:val="24"/>
          <w:lang w:val="es-CO"/>
        </w:rPr>
        <w:t xml:space="preserve">La implementación de un Programa de Justicia Restaurativa en el contexto de la violencia intrafamiliar en Colombia es una respuesta necesaria ante la creciente incidencia de estos casos y la urgente necesidad de abordar este problema de manera integral y sostenible. En un país donde la violencia intrafamiliar es una de las principales causas de sufrimiento y ruptura en muchas familias, la justicia restaurativa ofrece una alternativa que busca no solo castigar el daño, sino también promover la sanación y la transformación tanto de las víctimas como de los </w:t>
      </w:r>
      <w:r w:rsidRPr="35B2FBC5" w:rsidR="36A5C933">
        <w:rPr>
          <w:rFonts w:ascii="Arial" w:hAnsi="Arial" w:eastAsia="Arial" w:cs="Arial"/>
          <w:noProof w:val="0"/>
          <w:sz w:val="24"/>
          <w:szCs w:val="24"/>
          <w:lang w:val="es-CO"/>
        </w:rPr>
        <w:t>ofensores.</w:t>
      </w:r>
      <w:r w:rsidRPr="35B2FBC5" w:rsidR="36A5C933">
        <w:rPr>
          <w:rFonts w:ascii="Arial" w:hAnsi="Arial" w:eastAsia="Arial" w:cs="Arial"/>
          <w:noProof w:val="0"/>
          <w:sz w:val="24"/>
          <w:szCs w:val="24"/>
          <w:lang w:val="es-CO"/>
        </w:rPr>
        <w:t>E</w:t>
      </w:r>
      <w:r w:rsidRPr="35B2FBC5" w:rsidR="36A5C933">
        <w:rPr>
          <w:rFonts w:ascii="Arial" w:hAnsi="Arial" w:eastAsia="Arial" w:cs="Arial"/>
          <w:noProof w:val="0"/>
          <w:sz w:val="24"/>
          <w:szCs w:val="24"/>
          <w:lang w:val="es-CO"/>
        </w:rPr>
        <w:t>ste</w:t>
      </w:r>
      <w:r w:rsidRPr="35B2FBC5" w:rsidR="36A5C933">
        <w:rPr>
          <w:rFonts w:ascii="Arial" w:hAnsi="Arial" w:eastAsia="Arial" w:cs="Arial"/>
          <w:noProof w:val="0"/>
          <w:sz w:val="24"/>
          <w:szCs w:val="24"/>
          <w:lang w:val="es-CO"/>
        </w:rPr>
        <w:t xml:space="preserve"> enfoque permite involucrar a los infractores en un proceso reflexivo sobre sus comportamientos, lo cual facilita un cambio significativo en su forma de actuar, reduciendo así las posibilidades de reincidencia. Al fomentar la autorresponsabilidad, la justicia restaurativa contribuye a que los ofensores reconozcan el impacto de sus acciones y, de manera gradual, desarrollen nuevas formas de interacción más respetuosas y menos violentas. Este cambio, en muchos casos, se ve reflejado en una reintegración social más efectiva y en la prevención de futuros actos violentos.</w:t>
      </w:r>
    </w:p>
    <w:p w:rsidR="3DFCBBDA" w:rsidP="35B2FBC5" w:rsidRDefault="3DFCBBDA" w14:paraId="0BEBDA8B" w14:textId="475576A5">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36A5C933">
        <w:rPr>
          <w:rFonts w:ascii="Arial" w:hAnsi="Arial" w:eastAsia="Arial" w:cs="Arial"/>
          <w:noProof w:val="0"/>
          <w:sz w:val="24"/>
          <w:szCs w:val="24"/>
          <w:lang w:val="es-CO"/>
        </w:rPr>
        <w:t xml:space="preserve">Además, la justicia restaurativa se diferencia de los modelos punitivos tradicionales, ya que promueve una </w:t>
      </w:r>
      <w:r w:rsidRPr="35B2FBC5" w:rsidR="00C52979">
        <w:rPr>
          <w:rFonts w:ascii="Arial" w:hAnsi="Arial" w:eastAsia="Arial" w:cs="Arial"/>
          <w:noProof w:val="0"/>
          <w:sz w:val="24"/>
          <w:szCs w:val="24"/>
          <w:lang w:val="es-CO"/>
        </w:rPr>
        <w:t>participación</w:t>
      </w:r>
      <w:r w:rsidRPr="35B2FBC5" w:rsidR="36A5C933">
        <w:rPr>
          <w:rFonts w:ascii="Arial" w:hAnsi="Arial" w:eastAsia="Arial" w:cs="Arial"/>
          <w:noProof w:val="0"/>
          <w:sz w:val="24"/>
          <w:szCs w:val="24"/>
          <w:lang w:val="es-CO"/>
        </w:rPr>
        <w:t xml:space="preserve"> de la comunidad y las redes de apoyo en el proceso de resolución del conflicto. Este enfoque fortalece no solo el entorno de la víctima, brindándole oportunidades para sanar y ser escuchada, sino también el entorno del ofensor, ayudando a su reintegración social mediante el apoyo de su entorno familiar y comunitario. De esta manera, se favorece la creación de un círculo de apoyo que puede prevenir la recurrencia de comportamientos violentos.</w:t>
      </w:r>
    </w:p>
    <w:p w:rsidR="3DFCBBDA" w:rsidP="35B2FBC5" w:rsidRDefault="3DFCBBDA" w14:paraId="0CA7484B" w14:textId="58234DCD">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36A5C933">
        <w:rPr>
          <w:rFonts w:ascii="Arial" w:hAnsi="Arial" w:eastAsia="Arial" w:cs="Arial"/>
          <w:noProof w:val="0"/>
          <w:sz w:val="24"/>
          <w:szCs w:val="24"/>
          <w:lang w:val="es-CO"/>
        </w:rPr>
        <w:t>Es importante destacar que este modelo no solo se enfoca en el agresor y la víctima, sino que considera de manera integral el contexto familiar y social en el que se produce la violencia. Abordar estas cuestiones desde una perspectiva restaurativa permite intervenir de manera más profunda en las raíces del problema, ofreciendo soluciones que van más allá de la simple sanción y promoviendo un cambio estructural que reduzca la violencia en la sociedad.</w:t>
      </w:r>
    </w:p>
    <w:p w:rsidR="3DFCBBDA" w:rsidP="35B2FBC5" w:rsidRDefault="3DFCBBDA" w14:paraId="303900E3" w14:textId="1F3C6222">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36A5C933">
        <w:rPr>
          <w:rFonts w:ascii="Arial" w:hAnsi="Arial" w:eastAsia="Arial" w:cs="Arial"/>
          <w:noProof w:val="0"/>
          <w:sz w:val="24"/>
          <w:szCs w:val="24"/>
          <w:lang w:val="es-CO"/>
        </w:rPr>
        <w:t>Un aspecto relevante de este enfoque es su adaptación a las realidades de los adolescentes, quienes, en muchos casos, son tanto agresores como víctimas de la violencia intrafamiliar. En estos casos, el proceso restaurativo ayuda a los jóvenes a desarrollar habilidades de resolución de conflictos de manera pacífica y constructiva, mejorando sus capacidades para manejar situaciones de tensión sin recurrir a la violencia. Al involucrar a los adolescentes en el proceso, se les ofrece la oportunidad de entender las consecuencias de sus actos y de aprender nuevas formas de relacionarse con los demás, lo que puede tener un impacto positivo en su futuro.</w:t>
      </w:r>
    </w:p>
    <w:p w:rsidR="3DFCBBDA" w:rsidP="35B2FBC5" w:rsidRDefault="3DFCBBDA" w14:paraId="337B8360" w14:textId="551B41CE">
      <w:pPr>
        <w:spacing w:before="240" w:beforeAutospacing="off" w:after="240" w:afterAutospacing="off" w:line="480" w:lineRule="auto"/>
        <w:ind w:firstLine="708"/>
        <w:jc w:val="both"/>
        <w:rPr>
          <w:rFonts w:ascii="Arial" w:hAnsi="Arial" w:eastAsia="Arial" w:cs="Arial"/>
          <w:noProof w:val="0"/>
          <w:sz w:val="24"/>
          <w:szCs w:val="24"/>
          <w:lang w:val="es-CO"/>
        </w:rPr>
      </w:pPr>
      <w:r w:rsidRPr="35B2FBC5" w:rsidR="36A5C933">
        <w:rPr>
          <w:rFonts w:ascii="Arial" w:hAnsi="Arial" w:eastAsia="Arial" w:cs="Arial"/>
          <w:noProof w:val="0"/>
          <w:sz w:val="24"/>
          <w:szCs w:val="24"/>
          <w:lang w:val="es-CO"/>
        </w:rPr>
        <w:t>En última instancia, la implementación de un Programa de Justicia Restaurativa no solo aborda la problemática de la violencia intrafamiliar en Colombia de una m</w:t>
      </w:r>
      <w:r w:rsidRPr="35B2FBC5" w:rsidR="36A5C933">
        <w:rPr>
          <w:rFonts w:ascii="Arial" w:hAnsi="Arial" w:eastAsia="Arial" w:cs="Arial"/>
          <w:noProof w:val="0"/>
          <w:sz w:val="24"/>
          <w:szCs w:val="24"/>
          <w:lang w:val="es-CO"/>
        </w:rPr>
        <w:t>anera más humana y centrada en la reparación del daño, sino que también alinea al país con los estándares internacionales de derechos humanos. Este enfoque promueve un sistema de justicia más justo, inclusivo y efectivo, que reconoce la dignidad de todas las personas involucradas y busca, sobre todo, la construcción de una sociedad más pacífica y equitativa.</w:t>
      </w:r>
    </w:p>
    <w:p w:rsidR="5949DF4E" w:rsidP="35B2FBC5" w:rsidRDefault="5949DF4E" w14:paraId="617706DB" w14:textId="02A71806">
      <w:pPr>
        <w:spacing w:before="0" w:beforeAutospacing="off" w:after="0" w:afterAutospacing="off" w:line="480" w:lineRule="auto"/>
        <w:ind w:firstLine="709"/>
        <w:jc w:val="both"/>
        <w:rPr>
          <w:rFonts w:ascii="Arial" w:hAnsi="Arial" w:eastAsia="Arial" w:cs="Arial"/>
          <w:noProof w:val="0"/>
          <w:sz w:val="24"/>
          <w:szCs w:val="24"/>
          <w:lang w:val="es-CO"/>
        </w:rPr>
      </w:pPr>
    </w:p>
    <w:p w:rsidR="36E94E52" w:rsidP="35B2FBC5" w:rsidRDefault="36E94E52" w14:paraId="03F23B28" w14:textId="5232E528">
      <w:pPr>
        <w:spacing w:before="0" w:beforeAutospacing="off" w:after="0" w:afterAutospacing="off" w:line="480" w:lineRule="auto"/>
        <w:ind w:firstLine="708"/>
        <w:jc w:val="both"/>
        <w:rPr>
          <w:rFonts w:ascii="Arial" w:hAnsi="Arial" w:eastAsia="Arial" w:cs="Arial"/>
          <w:noProof w:val="0"/>
          <w:sz w:val="24"/>
          <w:szCs w:val="24"/>
          <w:lang w:val="es-CO"/>
        </w:rPr>
      </w:pPr>
    </w:p>
    <w:p w:rsidR="71145355" w:rsidP="35B2FBC5" w:rsidRDefault="71145355" w14:paraId="46B0CB75" w14:textId="40506C4D">
      <w:pPr>
        <w:spacing w:before="0" w:beforeAutospacing="off" w:after="0" w:afterAutospacing="off" w:line="480" w:lineRule="auto"/>
        <w:ind w:firstLine="708"/>
        <w:jc w:val="both"/>
      </w:pPr>
      <w:r w:rsidRPr="35B2FBC5" w:rsidR="71145355">
        <w:rPr>
          <w:rFonts w:ascii="Arial" w:hAnsi="Arial" w:eastAsia="Arial" w:cs="Arial"/>
          <w:noProof w:val="0"/>
          <w:sz w:val="24"/>
          <w:szCs w:val="24"/>
          <w:lang w:val="es-CO"/>
        </w:rPr>
        <w:t xml:space="preserve"> </w:t>
      </w:r>
    </w:p>
    <w:p w:rsidR="71145355" w:rsidP="35B2FBC5" w:rsidRDefault="71145355" w14:paraId="033346C3" w14:textId="31E51838">
      <w:pPr>
        <w:spacing w:before="0" w:beforeAutospacing="off" w:after="0" w:afterAutospacing="off" w:line="480" w:lineRule="auto"/>
        <w:ind w:firstLine="705"/>
        <w:jc w:val="center"/>
      </w:pPr>
      <w:r w:rsidRPr="35B2FBC5" w:rsidR="71145355">
        <w:rPr>
          <w:rFonts w:ascii="Arial" w:hAnsi="Arial" w:eastAsia="Arial" w:cs="Arial"/>
          <w:b w:val="1"/>
          <w:bCs w:val="1"/>
          <w:noProof w:val="0"/>
          <w:sz w:val="24"/>
          <w:szCs w:val="24"/>
          <w:lang w:val="es-CO"/>
        </w:rPr>
        <w:t>Referencias</w:t>
      </w:r>
      <w:r w:rsidRPr="35B2FBC5" w:rsidR="71145355">
        <w:rPr>
          <w:rFonts w:ascii="Arial" w:hAnsi="Arial" w:eastAsia="Arial" w:cs="Arial"/>
          <w:noProof w:val="0"/>
          <w:sz w:val="24"/>
          <w:szCs w:val="24"/>
          <w:lang w:val="es-CO"/>
        </w:rPr>
        <w:t xml:space="preserve"> </w:t>
      </w:r>
    </w:p>
    <w:p w:rsidR="71145355" w:rsidP="35B2FBC5" w:rsidRDefault="71145355" w14:paraId="1524C504" w14:textId="4D44F1AA">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Alonso ,</w:t>
      </w:r>
      <w:r w:rsidRPr="35B2FBC5" w:rsidR="71145355">
        <w:rPr>
          <w:rFonts w:ascii="Times New Roman" w:hAnsi="Times New Roman" w:eastAsia="Times New Roman" w:cs="Times New Roman"/>
          <w:noProof w:val="0"/>
          <w:sz w:val="24"/>
          <w:szCs w:val="24"/>
          <w:lang w:val="es-CO"/>
        </w:rPr>
        <w:t xml:space="preserve"> J. M., y </w:t>
      </w:r>
      <w:r w:rsidRPr="35B2FBC5" w:rsidR="71145355">
        <w:rPr>
          <w:rFonts w:ascii="Times New Roman" w:hAnsi="Times New Roman" w:eastAsia="Times New Roman" w:cs="Times New Roman"/>
          <w:noProof w:val="0"/>
          <w:sz w:val="24"/>
          <w:szCs w:val="24"/>
          <w:lang w:val="es-CO"/>
        </w:rPr>
        <w:t>Castellanos ,</w:t>
      </w:r>
      <w:r w:rsidRPr="35B2FBC5" w:rsidR="71145355">
        <w:rPr>
          <w:rFonts w:ascii="Times New Roman" w:hAnsi="Times New Roman" w:eastAsia="Times New Roman" w:cs="Times New Roman"/>
          <w:noProof w:val="0"/>
          <w:sz w:val="24"/>
          <w:szCs w:val="24"/>
          <w:lang w:val="es-CO"/>
        </w:rPr>
        <w:t xml:space="preserve"> J. L. (2006). Por un enfoque integral de la violencia familiar. </w:t>
      </w:r>
      <w:r w:rsidRPr="35B2FBC5" w:rsidR="71145355">
        <w:rPr>
          <w:rFonts w:ascii="Times New Roman" w:hAnsi="Times New Roman" w:eastAsia="Times New Roman" w:cs="Times New Roman"/>
          <w:noProof w:val="0"/>
          <w:sz w:val="24"/>
          <w:szCs w:val="24"/>
          <w:lang w:val="es-CO"/>
        </w:rPr>
        <w:t>Psychosocial</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intervention</w:t>
      </w:r>
      <w:r w:rsidRPr="35B2FBC5" w:rsidR="71145355">
        <w:rPr>
          <w:rFonts w:ascii="Times New Roman" w:hAnsi="Times New Roman" w:eastAsia="Times New Roman" w:cs="Times New Roman"/>
          <w:noProof w:val="0"/>
          <w:sz w:val="24"/>
          <w:szCs w:val="24"/>
          <w:lang w:val="es-CO"/>
        </w:rPr>
        <w:t xml:space="preserve">, 15(3), 253-274. </w:t>
      </w:r>
      <w:hyperlink r:id="R8f56f62946f84e8f">
        <w:r w:rsidRPr="35B2FBC5" w:rsidR="71145355">
          <w:rPr>
            <w:rStyle w:val="Hipervnculo"/>
            <w:rFonts w:ascii="Arial" w:hAnsi="Arial" w:eastAsia="Arial" w:cs="Arial"/>
            <w:strike w:val="0"/>
            <w:dstrike w:val="0"/>
            <w:noProof w:val="0"/>
            <w:color w:val="0563C1"/>
            <w:sz w:val="24"/>
            <w:szCs w:val="24"/>
            <w:u w:val="single"/>
            <w:lang w:val="es-CO"/>
          </w:rPr>
          <w:t>https://www.redalyc.org/pdf/1798/179814012002.pdf</w:t>
        </w:r>
      </w:hyperlink>
      <w:r w:rsidRPr="35B2FBC5" w:rsidR="71145355">
        <w:rPr>
          <w:rFonts w:ascii="Arial" w:hAnsi="Arial" w:eastAsia="Arial" w:cs="Arial"/>
          <w:noProof w:val="0"/>
          <w:sz w:val="24"/>
          <w:szCs w:val="24"/>
          <w:lang w:val="es-CO"/>
        </w:rPr>
        <w:t xml:space="preserve">  </w:t>
      </w:r>
    </w:p>
    <w:p w:rsidR="71145355" w:rsidP="35B2FBC5" w:rsidRDefault="71145355" w14:paraId="35310493" w14:textId="10501D3C">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Andrews, D., </w:t>
      </w:r>
      <w:r w:rsidRPr="35B2FBC5" w:rsidR="71145355">
        <w:rPr>
          <w:rFonts w:ascii="Times New Roman" w:hAnsi="Times New Roman" w:eastAsia="Times New Roman" w:cs="Times New Roman"/>
          <w:noProof w:val="0"/>
          <w:sz w:val="24"/>
          <w:szCs w:val="24"/>
          <w:lang w:val="es-CO"/>
        </w:rPr>
        <w:t xml:space="preserve">y </w:t>
      </w:r>
      <w:r w:rsidRPr="35B2FBC5" w:rsidR="71145355">
        <w:rPr>
          <w:rFonts w:ascii="Times New Roman" w:hAnsi="Times New Roman" w:eastAsia="Times New Roman" w:cs="Times New Roman"/>
          <w:noProof w:val="0"/>
          <w:sz w:val="24"/>
          <w:szCs w:val="24"/>
          <w:lang w:val="es-CO"/>
        </w:rPr>
        <w:t>Bonta</w:t>
      </w:r>
      <w:r w:rsidRPr="35B2FBC5" w:rsidR="71145355">
        <w:rPr>
          <w:rFonts w:ascii="Times New Roman" w:hAnsi="Times New Roman" w:eastAsia="Times New Roman" w:cs="Times New Roman"/>
          <w:noProof w:val="0"/>
          <w:sz w:val="24"/>
          <w:szCs w:val="24"/>
          <w:lang w:val="es-CO"/>
        </w:rPr>
        <w:t xml:space="preserve">, J. (2010). </w:t>
      </w:r>
      <w:r w:rsidRPr="35B2FBC5" w:rsidR="71145355">
        <w:rPr>
          <w:rFonts w:ascii="Times New Roman" w:hAnsi="Times New Roman" w:eastAsia="Times New Roman" w:cs="Times New Roman"/>
          <w:noProof w:val="0"/>
          <w:sz w:val="24"/>
          <w:szCs w:val="24"/>
          <w:lang w:val="es-CO"/>
        </w:rPr>
        <w:t>Rehabilitating</w:t>
      </w:r>
      <w:r w:rsidRPr="35B2FBC5" w:rsidR="71145355">
        <w:rPr>
          <w:rFonts w:ascii="Times New Roman" w:hAnsi="Times New Roman" w:eastAsia="Times New Roman" w:cs="Times New Roman"/>
          <w:noProof w:val="0"/>
          <w:sz w:val="24"/>
          <w:szCs w:val="24"/>
          <w:lang w:val="es-CO"/>
        </w:rPr>
        <w:t xml:space="preserve"> criminal </w:t>
      </w:r>
      <w:r w:rsidRPr="35B2FBC5" w:rsidR="71145355">
        <w:rPr>
          <w:rFonts w:ascii="Times New Roman" w:hAnsi="Times New Roman" w:eastAsia="Times New Roman" w:cs="Times New Roman"/>
          <w:noProof w:val="0"/>
          <w:sz w:val="24"/>
          <w:szCs w:val="24"/>
          <w:lang w:val="es-CO"/>
        </w:rPr>
        <w:t>justice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policy</w:t>
      </w:r>
      <w:r w:rsidRPr="35B2FBC5" w:rsidR="71145355">
        <w:rPr>
          <w:rFonts w:ascii="Times New Roman" w:hAnsi="Times New Roman" w:eastAsia="Times New Roman" w:cs="Times New Roman"/>
          <w:noProof w:val="0"/>
          <w:sz w:val="24"/>
          <w:szCs w:val="24"/>
          <w:lang w:val="es-CO"/>
        </w:rPr>
        <w:t xml:space="preserve"> and </w:t>
      </w:r>
      <w:r w:rsidRPr="35B2FBC5" w:rsidR="71145355">
        <w:rPr>
          <w:rFonts w:ascii="Times New Roman" w:hAnsi="Times New Roman" w:eastAsia="Times New Roman" w:cs="Times New Roman"/>
          <w:noProof w:val="0"/>
          <w:sz w:val="24"/>
          <w:szCs w:val="24"/>
          <w:lang w:val="es-CO"/>
        </w:rPr>
        <w:t>practice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Psychology</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Public</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Policy</w:t>
      </w:r>
      <w:r w:rsidRPr="35B2FBC5" w:rsidR="71145355">
        <w:rPr>
          <w:rFonts w:ascii="Times New Roman" w:hAnsi="Times New Roman" w:eastAsia="Times New Roman" w:cs="Times New Roman"/>
          <w:i w:val="1"/>
          <w:iCs w:val="1"/>
          <w:noProof w:val="0"/>
          <w:sz w:val="24"/>
          <w:szCs w:val="24"/>
          <w:lang w:val="es-CO"/>
        </w:rPr>
        <w:t xml:space="preserve">, and </w:t>
      </w:r>
      <w:r w:rsidRPr="35B2FBC5" w:rsidR="71145355">
        <w:rPr>
          <w:rFonts w:ascii="Times New Roman" w:hAnsi="Times New Roman" w:eastAsia="Times New Roman" w:cs="Times New Roman"/>
          <w:i w:val="1"/>
          <w:iCs w:val="1"/>
          <w:noProof w:val="0"/>
          <w:sz w:val="24"/>
          <w:szCs w:val="24"/>
          <w:lang w:val="es-CO"/>
        </w:rPr>
        <w:t>Law</w:t>
      </w:r>
      <w:r w:rsidRPr="35B2FBC5" w:rsidR="71145355">
        <w:rPr>
          <w:rFonts w:ascii="Times New Roman" w:hAnsi="Times New Roman" w:eastAsia="Times New Roman" w:cs="Times New Roman"/>
          <w:i w:val="1"/>
          <w:iCs w:val="1"/>
          <w:noProof w:val="0"/>
          <w:sz w:val="24"/>
          <w:szCs w:val="24"/>
          <w:lang w:val="es-CO"/>
        </w:rPr>
        <w:t>, 16</w:t>
      </w:r>
      <w:r w:rsidRPr="35B2FBC5" w:rsidR="71145355">
        <w:rPr>
          <w:rFonts w:ascii="Times New Roman" w:hAnsi="Times New Roman" w:eastAsia="Times New Roman" w:cs="Times New Roman"/>
          <w:noProof w:val="0"/>
          <w:sz w:val="24"/>
          <w:szCs w:val="24"/>
          <w:lang w:val="es-CO"/>
        </w:rPr>
        <w:t>, 39–55.</w:t>
      </w:r>
      <w:r w:rsidRPr="35B2FBC5" w:rsidR="71145355">
        <w:rPr>
          <w:rFonts w:ascii="Arial" w:hAnsi="Arial" w:eastAsia="Arial" w:cs="Arial"/>
          <w:noProof w:val="0"/>
          <w:sz w:val="24"/>
          <w:szCs w:val="24"/>
          <w:lang w:val="es-CO"/>
        </w:rPr>
        <w:t xml:space="preserve"> </w:t>
      </w:r>
    </w:p>
    <w:p w:rsidR="71145355" w:rsidP="35B2FBC5" w:rsidRDefault="71145355" w14:paraId="61888F1D" w14:textId="15920C9A">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Arce, R., </w:t>
      </w:r>
      <w:r w:rsidRPr="35B2FBC5" w:rsidR="71145355">
        <w:rPr>
          <w:rFonts w:ascii="Times New Roman" w:hAnsi="Times New Roman" w:eastAsia="Times New Roman" w:cs="Times New Roman"/>
          <w:noProof w:val="0"/>
          <w:sz w:val="24"/>
          <w:szCs w:val="24"/>
          <w:lang w:val="es-CO"/>
        </w:rPr>
        <w:t xml:space="preserve">y Fariña, F. (2010). Diseño e implementación del Programa Galicia de Reeducación de Maltratadores: Una respuesta psicosocial a una necesidad social y penitenciaria. </w:t>
      </w:r>
      <w:r w:rsidRPr="35B2FBC5" w:rsidR="71145355">
        <w:rPr>
          <w:rFonts w:ascii="Times New Roman" w:hAnsi="Times New Roman" w:eastAsia="Times New Roman" w:cs="Times New Roman"/>
          <w:i w:val="1"/>
          <w:iCs w:val="1"/>
          <w:noProof w:val="0"/>
          <w:sz w:val="24"/>
          <w:szCs w:val="24"/>
          <w:lang w:val="es-CO"/>
        </w:rPr>
        <w:t>Psychosocial</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Intervention</w:t>
      </w:r>
      <w:r w:rsidRPr="35B2FBC5" w:rsidR="71145355">
        <w:rPr>
          <w:rFonts w:ascii="Times New Roman" w:hAnsi="Times New Roman" w:eastAsia="Times New Roman" w:cs="Times New Roman"/>
          <w:i w:val="1"/>
          <w:iCs w:val="1"/>
          <w:noProof w:val="0"/>
          <w:sz w:val="24"/>
          <w:szCs w:val="24"/>
          <w:lang w:val="es-CO"/>
        </w:rPr>
        <w:t>, 19</w:t>
      </w:r>
      <w:r w:rsidRPr="35B2FBC5" w:rsidR="71145355">
        <w:rPr>
          <w:rFonts w:ascii="Times New Roman" w:hAnsi="Times New Roman" w:eastAsia="Times New Roman" w:cs="Times New Roman"/>
          <w:noProof w:val="0"/>
          <w:sz w:val="24"/>
          <w:szCs w:val="24"/>
          <w:lang w:val="es-CO"/>
        </w:rPr>
        <w:t xml:space="preserve">(2), 153-166. </w:t>
      </w:r>
      <w:hyperlink r:id="R16d9429069ee448e">
        <w:r w:rsidRPr="35B2FBC5" w:rsidR="71145355">
          <w:rPr>
            <w:rStyle w:val="Hipervnculo"/>
            <w:rFonts w:ascii="Arial" w:hAnsi="Arial" w:eastAsia="Arial" w:cs="Arial"/>
            <w:strike w:val="0"/>
            <w:dstrike w:val="0"/>
            <w:noProof w:val="0"/>
            <w:color w:val="0563C1"/>
            <w:sz w:val="24"/>
            <w:szCs w:val="24"/>
            <w:u w:val="single"/>
            <w:lang w:val="es-CO"/>
          </w:rPr>
          <w:t>http://scielo.isciii.es/scielo.php?script=sci_arttext&amp;pid=S1132-05592010000200007&amp;lng=es&amp;tlng=es</w:t>
        </w:r>
      </w:hyperlink>
      <w:r w:rsidRPr="35B2FBC5" w:rsidR="71145355">
        <w:rPr>
          <w:rFonts w:ascii="Arial" w:hAnsi="Arial" w:eastAsia="Arial" w:cs="Arial"/>
          <w:noProof w:val="0"/>
          <w:sz w:val="24"/>
          <w:szCs w:val="24"/>
          <w:lang w:val="es-CO"/>
        </w:rPr>
        <w:t xml:space="preserve">. </w:t>
      </w:r>
    </w:p>
    <w:p w:rsidR="71145355" w:rsidP="35B2FBC5" w:rsidRDefault="71145355" w14:paraId="5D836D5C" w14:textId="7D71E310">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 xml:space="preserve">Armstrong, G., Caín, M., Wylie, L., </w:t>
      </w:r>
      <w:r w:rsidRPr="35B2FBC5" w:rsidR="71145355">
        <w:rPr>
          <w:rFonts w:ascii="Times New Roman" w:hAnsi="Times New Roman" w:eastAsia="Times New Roman" w:cs="Times New Roman"/>
          <w:noProof w:val="0"/>
          <w:sz w:val="24"/>
          <w:szCs w:val="24"/>
          <w:lang w:val="en-US"/>
        </w:rPr>
        <w:t>Muftiÿ</w:t>
      </w:r>
      <w:r w:rsidRPr="35B2FBC5" w:rsidR="71145355">
        <w:rPr>
          <w:rFonts w:ascii="Times New Roman" w:hAnsi="Times New Roman" w:eastAsia="Times New Roman" w:cs="Times New Roman"/>
          <w:noProof w:val="0"/>
          <w:sz w:val="24"/>
          <w:szCs w:val="24"/>
          <w:lang w:val="en-US"/>
        </w:rPr>
        <w:t xml:space="preserve">, L., y Bouffard, L. (2018). Profile of risk factors of young people imprisoned for </w:t>
      </w:r>
      <w:r w:rsidRPr="35B2FBC5" w:rsidR="71145355">
        <w:rPr>
          <w:rFonts w:ascii="Times New Roman" w:hAnsi="Times New Roman" w:eastAsia="Times New Roman" w:cs="Times New Roman"/>
          <w:noProof w:val="0"/>
          <w:sz w:val="24"/>
          <w:szCs w:val="24"/>
          <w:lang w:val="en-US"/>
        </w:rPr>
        <w:t>filio</w:t>
      </w:r>
      <w:r w:rsidRPr="35B2FBC5" w:rsidR="71145355">
        <w:rPr>
          <w:rFonts w:ascii="Times New Roman" w:hAnsi="Times New Roman" w:eastAsia="Times New Roman" w:cs="Times New Roman"/>
          <w:noProof w:val="0"/>
          <w:sz w:val="24"/>
          <w:szCs w:val="24"/>
          <w:lang w:val="en-US"/>
        </w:rPr>
        <w:t xml:space="preserve">-parental violence: A nationally representative sample. </w:t>
      </w:r>
      <w:r w:rsidRPr="35B2FBC5" w:rsidR="71145355">
        <w:rPr>
          <w:rFonts w:ascii="Times New Roman" w:hAnsi="Times New Roman" w:eastAsia="Times New Roman" w:cs="Times New Roman"/>
          <w:i w:val="1"/>
          <w:iCs w:val="1"/>
          <w:noProof w:val="0"/>
          <w:sz w:val="24"/>
          <w:szCs w:val="24"/>
          <w:lang w:val="en-US"/>
        </w:rPr>
        <w:t>Criminal Justice Magazine, 58</w:t>
      </w:r>
      <w:r w:rsidRPr="35B2FBC5" w:rsidR="71145355">
        <w:rPr>
          <w:rFonts w:ascii="Times New Roman" w:hAnsi="Times New Roman" w:eastAsia="Times New Roman" w:cs="Times New Roman"/>
          <w:noProof w:val="0"/>
          <w:sz w:val="24"/>
          <w:szCs w:val="24"/>
          <w:lang w:val="en-US"/>
        </w:rPr>
        <w:t>, 1–9.</w:t>
      </w:r>
      <w:r w:rsidRPr="35B2FBC5" w:rsidR="71145355">
        <w:rPr>
          <w:rFonts w:ascii="Arial" w:hAnsi="Arial" w:eastAsia="Arial" w:cs="Arial"/>
          <w:noProof w:val="0"/>
          <w:sz w:val="24"/>
          <w:szCs w:val="24"/>
          <w:lang w:val="en-US"/>
        </w:rPr>
        <w:t xml:space="preserve"> </w:t>
      </w:r>
    </w:p>
    <w:p w:rsidR="71145355" w:rsidP="35B2FBC5" w:rsidRDefault="71145355" w14:paraId="759AB6A5" w14:textId="71F50A8A">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Aroca, M., Lorenzo, M., </w:t>
      </w:r>
      <w:r w:rsidRPr="35B2FBC5" w:rsidR="71145355">
        <w:rPr>
          <w:rFonts w:ascii="Times New Roman" w:hAnsi="Times New Roman" w:eastAsia="Times New Roman" w:cs="Times New Roman"/>
          <w:noProof w:val="0"/>
          <w:sz w:val="24"/>
          <w:szCs w:val="24"/>
          <w:lang w:val="es-CO"/>
        </w:rPr>
        <w:t xml:space="preserve">y Miró, C. (2014). La violencia filio-parental: Un análisis de sus claves. </w:t>
      </w:r>
      <w:r w:rsidRPr="35B2FBC5" w:rsidR="71145355">
        <w:rPr>
          <w:rFonts w:ascii="Times New Roman" w:hAnsi="Times New Roman" w:eastAsia="Times New Roman" w:cs="Times New Roman"/>
          <w:i w:val="1"/>
          <w:iCs w:val="1"/>
          <w:noProof w:val="0"/>
          <w:sz w:val="24"/>
          <w:szCs w:val="24"/>
          <w:lang w:val="es-CO"/>
        </w:rPr>
        <w:t>Anales de Psicología, 30</w:t>
      </w:r>
      <w:r w:rsidRPr="35B2FBC5" w:rsidR="71145355">
        <w:rPr>
          <w:rFonts w:ascii="Times New Roman" w:hAnsi="Times New Roman" w:eastAsia="Times New Roman" w:cs="Times New Roman"/>
          <w:noProof w:val="0"/>
          <w:sz w:val="24"/>
          <w:szCs w:val="24"/>
          <w:lang w:val="es-CO"/>
        </w:rPr>
        <w:t xml:space="preserve">(1), 157-170. Recuperado de </w:t>
      </w:r>
      <w:hyperlink r:id="Rc3909b44c9d44246">
        <w:r w:rsidRPr="35B2FBC5" w:rsidR="71145355">
          <w:rPr>
            <w:rStyle w:val="Hipervnculo"/>
            <w:rFonts w:ascii="Arial" w:hAnsi="Arial" w:eastAsia="Arial" w:cs="Arial"/>
            <w:strike w:val="0"/>
            <w:dstrike w:val="0"/>
            <w:noProof w:val="0"/>
            <w:color w:val="0563C1"/>
            <w:sz w:val="24"/>
            <w:szCs w:val="24"/>
            <w:u w:val="single"/>
            <w:lang w:val="es-CO"/>
          </w:rPr>
          <w:t>https://scielo.isciii.es/scielo.php?script=sci_arttext&amp;pid=S0212-97282014000100017</w:t>
        </w:r>
      </w:hyperlink>
      <w:r w:rsidRPr="35B2FBC5" w:rsidR="71145355">
        <w:rPr>
          <w:rFonts w:ascii="Arial" w:hAnsi="Arial" w:eastAsia="Arial" w:cs="Arial"/>
          <w:noProof w:val="0"/>
          <w:sz w:val="24"/>
          <w:szCs w:val="24"/>
          <w:lang w:val="es-CO"/>
        </w:rPr>
        <w:t xml:space="preserve">. </w:t>
      </w:r>
    </w:p>
    <w:p w:rsidR="71145355" w:rsidP="35B2FBC5" w:rsidRDefault="71145355" w14:paraId="42CE4699" w14:textId="7FEA4462">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Avila</w:t>
      </w:r>
      <w:r w:rsidRPr="35B2FBC5" w:rsidR="71145355">
        <w:rPr>
          <w:rFonts w:ascii="Times New Roman" w:hAnsi="Times New Roman" w:eastAsia="Times New Roman" w:cs="Times New Roman"/>
          <w:noProof w:val="0"/>
          <w:sz w:val="24"/>
          <w:szCs w:val="24"/>
          <w:lang w:val="es-CO"/>
        </w:rPr>
        <w:t xml:space="preserve">, N. (2015). Eficacia de un programa de justicia restaurativa dirigido a adolescentes incluidos en el sistema de responsabilidad penal para adolescentes. [Tesis de maestría]. Recuperado de </w:t>
      </w:r>
      <w:hyperlink r:id="Rf6a9eca0e7ed4488">
        <w:r w:rsidRPr="35B2FBC5" w:rsidR="71145355">
          <w:rPr>
            <w:rStyle w:val="Hipervnculo"/>
            <w:rFonts w:ascii="Arial" w:hAnsi="Arial" w:eastAsia="Arial" w:cs="Arial"/>
            <w:strike w:val="0"/>
            <w:dstrike w:val="0"/>
            <w:noProof w:val="0"/>
            <w:color w:val="0563C1"/>
            <w:sz w:val="24"/>
            <w:szCs w:val="24"/>
            <w:u w:val="single"/>
            <w:lang w:val="es-CO"/>
          </w:rPr>
          <w:t>https://repository.usta.edu.co/bitstream/handle/11634/3882/Avilanestor2015.pdf?sequence=1</w:t>
        </w:r>
      </w:hyperlink>
      <w:r w:rsidRPr="35B2FBC5" w:rsidR="71145355">
        <w:rPr>
          <w:rFonts w:ascii="Arial" w:hAnsi="Arial" w:eastAsia="Arial" w:cs="Arial"/>
          <w:noProof w:val="0"/>
          <w:sz w:val="24"/>
          <w:szCs w:val="24"/>
          <w:lang w:val="es-CO"/>
        </w:rPr>
        <w:t xml:space="preserve">. </w:t>
      </w:r>
    </w:p>
    <w:p w:rsidR="71145355" w:rsidP="35B2FBC5" w:rsidRDefault="71145355" w14:paraId="1D812438" w14:textId="4F432116">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Barrientos, J., Molina, C., </w:t>
      </w:r>
      <w:r w:rsidRPr="35B2FBC5" w:rsidR="71145355">
        <w:rPr>
          <w:rFonts w:ascii="Times New Roman" w:hAnsi="Times New Roman" w:eastAsia="Times New Roman" w:cs="Times New Roman"/>
          <w:noProof w:val="0"/>
          <w:sz w:val="24"/>
          <w:szCs w:val="24"/>
          <w:lang w:val="es-CO"/>
        </w:rPr>
        <w:t>y Salinas, D. (2013). Las causas de la violencia intrafamiliar en Medellín.</w:t>
      </w:r>
      <w:r w:rsidRPr="35B2FBC5" w:rsidR="71145355">
        <w:rPr>
          <w:rFonts w:ascii="Times New Roman" w:hAnsi="Times New Roman" w:eastAsia="Times New Roman" w:cs="Times New Roman"/>
          <w:i w:val="1"/>
          <w:iCs w:val="1"/>
          <w:noProof w:val="0"/>
          <w:sz w:val="24"/>
          <w:szCs w:val="24"/>
          <w:lang w:val="es-CO"/>
        </w:rPr>
        <w:t xml:space="preserve"> Perfil de coyuntura económica</w:t>
      </w:r>
      <w:r w:rsidRPr="35B2FBC5" w:rsidR="71145355">
        <w:rPr>
          <w:rFonts w:ascii="Times New Roman" w:hAnsi="Times New Roman" w:eastAsia="Times New Roman" w:cs="Times New Roman"/>
          <w:noProof w:val="0"/>
          <w:sz w:val="24"/>
          <w:szCs w:val="24"/>
          <w:lang w:val="es-CO"/>
        </w:rPr>
        <w:t>, (22), 99-102.</w:t>
      </w:r>
      <w:r w:rsidRPr="35B2FBC5" w:rsidR="71145355">
        <w:rPr>
          <w:rFonts w:ascii="Arial" w:hAnsi="Arial" w:eastAsia="Arial" w:cs="Arial"/>
          <w:noProof w:val="0"/>
          <w:sz w:val="24"/>
          <w:szCs w:val="24"/>
          <w:lang w:val="es-CO"/>
        </w:rPr>
        <w:t xml:space="preserve"> </w:t>
      </w:r>
    </w:p>
    <w:p w:rsidR="71145355" w:rsidP="35B2FBC5" w:rsidRDefault="71145355" w14:paraId="776AF5E0" w14:textId="0D81451B">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 xml:space="preserve">Bergseth, K., </w:t>
      </w:r>
      <w:r w:rsidRPr="35B2FBC5" w:rsidR="71145355">
        <w:rPr>
          <w:rFonts w:ascii="Times New Roman" w:hAnsi="Times New Roman" w:eastAsia="Times New Roman" w:cs="Times New Roman"/>
          <w:noProof w:val="0"/>
          <w:sz w:val="24"/>
          <w:szCs w:val="24"/>
          <w:lang w:val="en-US"/>
        </w:rPr>
        <w:t xml:space="preserve">y Bouffard, J. (2012). Examining the effectiveness of a restorative justice program for </w:t>
      </w:r>
      <w:r w:rsidRPr="35B2FBC5" w:rsidR="71145355">
        <w:rPr>
          <w:rFonts w:ascii="Times New Roman" w:hAnsi="Times New Roman" w:eastAsia="Times New Roman" w:cs="Times New Roman"/>
          <w:noProof w:val="0"/>
          <w:sz w:val="24"/>
          <w:szCs w:val="24"/>
          <w:lang w:val="en-US"/>
        </w:rPr>
        <w:t>various types</w:t>
      </w:r>
      <w:r w:rsidRPr="35B2FBC5" w:rsidR="71145355">
        <w:rPr>
          <w:rFonts w:ascii="Times New Roman" w:hAnsi="Times New Roman" w:eastAsia="Times New Roman" w:cs="Times New Roman"/>
          <w:noProof w:val="0"/>
          <w:sz w:val="24"/>
          <w:szCs w:val="24"/>
          <w:lang w:val="en-US"/>
        </w:rPr>
        <w:t xml:space="preserve"> of juvenile offenders. </w:t>
      </w:r>
      <w:r w:rsidRPr="35B2FBC5" w:rsidR="71145355">
        <w:rPr>
          <w:rFonts w:ascii="Times New Roman" w:hAnsi="Times New Roman" w:eastAsia="Times New Roman" w:cs="Times New Roman"/>
          <w:i w:val="1"/>
          <w:iCs w:val="1"/>
          <w:noProof w:val="0"/>
          <w:sz w:val="24"/>
          <w:szCs w:val="24"/>
          <w:lang w:val="en-US"/>
        </w:rPr>
        <w:t>International Journal of Offender Therapy and Comparative Criminology, 57</w:t>
      </w:r>
      <w:r w:rsidRPr="35B2FBC5" w:rsidR="71145355">
        <w:rPr>
          <w:rFonts w:ascii="Times New Roman" w:hAnsi="Times New Roman" w:eastAsia="Times New Roman" w:cs="Times New Roman"/>
          <w:noProof w:val="0"/>
          <w:sz w:val="24"/>
          <w:szCs w:val="24"/>
          <w:lang w:val="en-US"/>
        </w:rPr>
        <w:t>(9), 1054–1075.</w:t>
      </w:r>
      <w:r w:rsidRPr="35B2FBC5" w:rsidR="71145355">
        <w:rPr>
          <w:rFonts w:ascii="Arial" w:hAnsi="Arial" w:eastAsia="Arial" w:cs="Arial"/>
          <w:noProof w:val="0"/>
          <w:sz w:val="24"/>
          <w:szCs w:val="24"/>
          <w:lang w:val="en-US"/>
        </w:rPr>
        <w:t xml:space="preserve"> </w:t>
      </w:r>
    </w:p>
    <w:p w:rsidR="71145355" w:rsidP="35B2FBC5" w:rsidRDefault="71145355" w14:paraId="11DA36DB" w14:textId="2A14C889">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 xml:space="preserve">Campbell, E., Richter, J., Howard, J., </w:t>
      </w:r>
      <w:r w:rsidRPr="35B2FBC5" w:rsidR="71145355">
        <w:rPr>
          <w:rFonts w:ascii="Times New Roman" w:hAnsi="Times New Roman" w:eastAsia="Times New Roman" w:cs="Times New Roman"/>
          <w:noProof w:val="0"/>
          <w:sz w:val="24"/>
          <w:szCs w:val="24"/>
          <w:lang w:val="en-US"/>
        </w:rPr>
        <w:t xml:space="preserve">y Cockburn, H. (2020). *The PIPA project: Positive interventions for perpetrators of adolescent domestic violence (AVITH)*. </w:t>
      </w:r>
      <w:r w:rsidRPr="35B2FBC5" w:rsidR="71145355">
        <w:rPr>
          <w:rFonts w:ascii="Times New Roman" w:hAnsi="Times New Roman" w:eastAsia="Times New Roman" w:cs="Times New Roman"/>
          <w:noProof w:val="0"/>
          <w:sz w:val="24"/>
          <w:szCs w:val="24"/>
          <w:lang w:val="en-US"/>
        </w:rPr>
        <w:t>Recuperado</w:t>
      </w:r>
      <w:r w:rsidRPr="35B2FBC5" w:rsidR="71145355">
        <w:rPr>
          <w:rFonts w:ascii="Times New Roman" w:hAnsi="Times New Roman" w:eastAsia="Times New Roman" w:cs="Times New Roman"/>
          <w:noProof w:val="0"/>
          <w:sz w:val="24"/>
          <w:szCs w:val="24"/>
          <w:lang w:val="en-US"/>
        </w:rPr>
        <w:t xml:space="preserve"> de </w:t>
      </w:r>
      <w:hyperlink r:id="Rb914be1cf88b41b8">
        <w:r w:rsidRPr="35B2FBC5" w:rsidR="71145355">
          <w:rPr>
            <w:rStyle w:val="Hipervnculo"/>
            <w:rFonts w:ascii="Arial" w:hAnsi="Arial" w:eastAsia="Arial" w:cs="Arial"/>
            <w:strike w:val="0"/>
            <w:dstrike w:val="0"/>
            <w:noProof w:val="0"/>
            <w:color w:val="0563C1"/>
            <w:sz w:val="24"/>
            <w:szCs w:val="24"/>
            <w:u w:val="single"/>
            <w:lang w:val="en-US"/>
          </w:rPr>
          <w:t>https://20ian81kynqg38bl3l3eh8bf-wpengine.netdna-ssl.com/wpcontent/uploads/2020/02/Campbell_RR_PIPA.pdf</w:t>
        </w:r>
      </w:hyperlink>
      <w:r w:rsidRPr="35B2FBC5" w:rsidR="71145355">
        <w:rPr>
          <w:rFonts w:ascii="Arial" w:hAnsi="Arial" w:eastAsia="Arial" w:cs="Arial"/>
          <w:noProof w:val="0"/>
          <w:sz w:val="24"/>
          <w:szCs w:val="24"/>
          <w:lang w:val="en-US"/>
        </w:rPr>
        <w:t xml:space="preserve">. </w:t>
      </w:r>
    </w:p>
    <w:p w:rsidR="71145355" w:rsidP="35B2FBC5" w:rsidRDefault="71145355" w14:paraId="3A9AB664" w14:textId="08D8E225">
      <w:pPr>
        <w:spacing w:before="0" w:beforeAutospacing="off" w:after="0" w:afterAutospacing="off" w:line="480" w:lineRule="auto"/>
        <w:ind w:left="630" w:right="0" w:hanging="630"/>
        <w:jc w:val="both"/>
      </w:pPr>
      <w:r w:rsidRPr="35B2FBC5" w:rsidR="71145355">
        <w:rPr>
          <w:rFonts w:ascii="Arial" w:hAnsi="Arial" w:eastAsia="Arial" w:cs="Arial"/>
          <w:noProof w:val="0"/>
          <w:color w:val="000000" w:themeColor="text1" w:themeTint="FF" w:themeShade="FF"/>
          <w:sz w:val="24"/>
          <w:szCs w:val="24"/>
          <w:lang w:val="es-CO"/>
        </w:rPr>
        <w:t>Canguilhem</w:t>
      </w:r>
      <w:r w:rsidRPr="35B2FBC5" w:rsidR="71145355">
        <w:rPr>
          <w:rFonts w:ascii="Times New Roman" w:hAnsi="Times New Roman" w:eastAsia="Times New Roman" w:cs="Times New Roman"/>
          <w:noProof w:val="0"/>
          <w:sz w:val="24"/>
          <w:szCs w:val="24"/>
          <w:lang w:val="es-CO"/>
        </w:rPr>
        <w:t>, G. (1998). ¿Qué es la psicología? Revista colombiana de psicología, 7(1), 7-14.</w:t>
      </w:r>
      <w:r w:rsidRPr="35B2FBC5" w:rsidR="71145355">
        <w:rPr>
          <w:rFonts w:ascii="Arial" w:hAnsi="Arial" w:eastAsia="Arial" w:cs="Arial"/>
          <w:noProof w:val="0"/>
          <w:color w:val="000000" w:themeColor="text1" w:themeTint="FF" w:themeShade="FF"/>
          <w:sz w:val="24"/>
          <w:szCs w:val="24"/>
          <w:lang w:val="es-CO"/>
        </w:rPr>
        <w:t xml:space="preserve"> </w:t>
      </w:r>
    </w:p>
    <w:p w:rsidR="71145355" w:rsidP="35B2FBC5" w:rsidRDefault="71145355" w14:paraId="5367A856" w14:textId="32B0DB6F">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Casas, J., Repullo, J., </w:t>
      </w:r>
      <w:r w:rsidRPr="35B2FBC5" w:rsidR="71145355">
        <w:rPr>
          <w:rFonts w:ascii="Times New Roman" w:hAnsi="Times New Roman" w:eastAsia="Times New Roman" w:cs="Times New Roman"/>
          <w:noProof w:val="0"/>
          <w:sz w:val="24"/>
          <w:szCs w:val="24"/>
          <w:lang w:val="es-CO"/>
        </w:rPr>
        <w:t xml:space="preserve">y Donado, J. (2002). La encuesta como técnica de investigación: Elaboración de cuestionarios y tratamiento estadístico de datos. </w:t>
      </w:r>
      <w:r w:rsidRPr="35B2FBC5" w:rsidR="71145355">
        <w:rPr>
          <w:rFonts w:ascii="Times New Roman" w:hAnsi="Times New Roman" w:eastAsia="Times New Roman" w:cs="Times New Roman"/>
          <w:i w:val="1"/>
          <w:iCs w:val="1"/>
          <w:noProof w:val="0"/>
          <w:sz w:val="24"/>
          <w:szCs w:val="24"/>
          <w:lang w:val="es-CO"/>
        </w:rPr>
        <w:t>Aten Primaria, 31</w:t>
      </w:r>
      <w:r w:rsidRPr="35B2FBC5" w:rsidR="71145355">
        <w:rPr>
          <w:rFonts w:ascii="Times New Roman" w:hAnsi="Times New Roman" w:eastAsia="Times New Roman" w:cs="Times New Roman"/>
          <w:noProof w:val="0"/>
          <w:sz w:val="24"/>
          <w:szCs w:val="24"/>
          <w:lang w:val="es-CO"/>
        </w:rPr>
        <w:t>, 37-38.</w:t>
      </w:r>
      <w:r w:rsidRPr="35B2FBC5" w:rsidR="71145355">
        <w:rPr>
          <w:rFonts w:ascii="Arial" w:hAnsi="Arial" w:eastAsia="Arial" w:cs="Arial"/>
          <w:noProof w:val="0"/>
          <w:sz w:val="24"/>
          <w:szCs w:val="24"/>
          <w:lang w:val="es-CO"/>
        </w:rPr>
        <w:t xml:space="preserve"> </w:t>
      </w:r>
    </w:p>
    <w:p w:rsidR="71145355" w:rsidP="35B2FBC5" w:rsidRDefault="71145355" w14:paraId="7B7EF52D" w14:textId="17FF87F3">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Cely, L. A., Padilla Villarraga, A., Rodríguez, L. S., </w:t>
      </w:r>
      <w:r w:rsidRPr="35B2FBC5" w:rsidR="71145355">
        <w:rPr>
          <w:rFonts w:ascii="Times New Roman" w:hAnsi="Times New Roman" w:eastAsia="Times New Roman" w:cs="Times New Roman"/>
          <w:noProof w:val="0"/>
          <w:sz w:val="24"/>
          <w:szCs w:val="24"/>
          <w:lang w:val="es-CO"/>
        </w:rPr>
        <w:t xml:space="preserve">y Díaz Colorado, F. (2010). Análisis de la justicia restaurativa para atender casos de violencia intrafamiliar en el Centro de Atención Integral a Víctimas de Violencia Intrafamiliar (CAVIF) de la </w:t>
      </w:r>
      <w:r w:rsidRPr="35B2FBC5" w:rsidR="71145355">
        <w:rPr>
          <w:rFonts w:ascii="Times New Roman" w:hAnsi="Times New Roman" w:eastAsia="Times New Roman" w:cs="Times New Roman"/>
          <w:noProof w:val="0"/>
          <w:sz w:val="24"/>
          <w:szCs w:val="24"/>
          <w:lang w:val="es-CO"/>
        </w:rPr>
        <w:t>Fiscalía General</w:t>
      </w:r>
      <w:r w:rsidRPr="35B2FBC5" w:rsidR="71145355">
        <w:rPr>
          <w:rFonts w:ascii="Times New Roman" w:hAnsi="Times New Roman" w:eastAsia="Times New Roman" w:cs="Times New Roman"/>
          <w:noProof w:val="0"/>
          <w:sz w:val="24"/>
          <w:szCs w:val="24"/>
          <w:lang w:val="es-CO"/>
        </w:rPr>
        <w:t xml:space="preserve"> de la Nación, Colombia. </w:t>
      </w:r>
      <w:r w:rsidRPr="35B2FBC5" w:rsidR="71145355">
        <w:rPr>
          <w:rFonts w:ascii="Times New Roman" w:hAnsi="Times New Roman" w:eastAsia="Times New Roman" w:cs="Times New Roman"/>
          <w:i w:val="1"/>
          <w:iCs w:val="1"/>
          <w:noProof w:val="0"/>
          <w:sz w:val="24"/>
          <w:szCs w:val="24"/>
          <w:lang w:val="es-CO"/>
        </w:rPr>
        <w:t>Diversitas: Perspectivas en Psicología, 6</w:t>
      </w:r>
      <w:r w:rsidRPr="35B2FBC5" w:rsidR="71145355">
        <w:rPr>
          <w:rFonts w:ascii="Times New Roman" w:hAnsi="Times New Roman" w:eastAsia="Times New Roman" w:cs="Times New Roman"/>
          <w:noProof w:val="0"/>
          <w:sz w:val="24"/>
          <w:szCs w:val="24"/>
          <w:lang w:val="es-CO"/>
        </w:rPr>
        <w:t xml:space="preserve">(2), 355-373. Recuperado de </w:t>
      </w:r>
      <w:hyperlink r:id="Rbe5425e3071747bf">
        <w:r w:rsidRPr="35B2FBC5" w:rsidR="71145355">
          <w:rPr>
            <w:rStyle w:val="Hipervnculo"/>
            <w:rFonts w:ascii="Arial" w:hAnsi="Arial" w:eastAsia="Arial" w:cs="Arial"/>
            <w:strike w:val="0"/>
            <w:dstrike w:val="0"/>
            <w:noProof w:val="0"/>
            <w:color w:val="0563C1"/>
            <w:sz w:val="24"/>
            <w:szCs w:val="24"/>
            <w:u w:val="single"/>
            <w:lang w:val="es-CO"/>
          </w:rPr>
          <w:t>https://www.redalyc.org/articulo.oa?id=67915140011</w:t>
        </w:r>
      </w:hyperlink>
      <w:r w:rsidRPr="35B2FBC5" w:rsidR="71145355">
        <w:rPr>
          <w:rFonts w:ascii="Arial" w:hAnsi="Arial" w:eastAsia="Arial" w:cs="Arial"/>
          <w:noProof w:val="0"/>
          <w:sz w:val="24"/>
          <w:szCs w:val="24"/>
          <w:lang w:val="es-CO"/>
        </w:rPr>
        <w:t xml:space="preserve">. </w:t>
      </w:r>
    </w:p>
    <w:p w:rsidR="71145355" w:rsidP="35B2FBC5" w:rsidRDefault="71145355" w14:paraId="3D138F41" w14:textId="6BE0908B">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Cottrell</w:t>
      </w:r>
      <w:r w:rsidRPr="35B2FBC5" w:rsidR="71145355">
        <w:rPr>
          <w:rFonts w:ascii="Times New Roman" w:hAnsi="Times New Roman" w:eastAsia="Times New Roman" w:cs="Times New Roman"/>
          <w:noProof w:val="0"/>
          <w:sz w:val="24"/>
          <w:szCs w:val="24"/>
          <w:lang w:val="es-CO"/>
        </w:rPr>
        <w:t xml:space="preserve">, B., y </w:t>
      </w:r>
      <w:r w:rsidRPr="35B2FBC5" w:rsidR="71145355">
        <w:rPr>
          <w:rFonts w:ascii="Times New Roman" w:hAnsi="Times New Roman" w:eastAsia="Times New Roman" w:cs="Times New Roman"/>
          <w:noProof w:val="0"/>
          <w:sz w:val="24"/>
          <w:szCs w:val="24"/>
          <w:lang w:val="es-CO"/>
        </w:rPr>
        <w:t>Monk</w:t>
      </w:r>
      <w:r w:rsidRPr="35B2FBC5" w:rsidR="71145355">
        <w:rPr>
          <w:rFonts w:ascii="Times New Roman" w:hAnsi="Times New Roman" w:eastAsia="Times New Roman" w:cs="Times New Roman"/>
          <w:noProof w:val="0"/>
          <w:sz w:val="24"/>
          <w:szCs w:val="24"/>
          <w:lang w:val="es-CO"/>
        </w:rPr>
        <w:t xml:space="preserve">, P. (2004). </w:t>
      </w:r>
      <w:r w:rsidRPr="35B2FBC5" w:rsidR="71145355">
        <w:rPr>
          <w:rFonts w:ascii="Times New Roman" w:hAnsi="Times New Roman" w:eastAsia="Times New Roman" w:cs="Times New Roman"/>
          <w:noProof w:val="0"/>
          <w:sz w:val="24"/>
          <w:szCs w:val="24"/>
          <w:lang w:val="es-CO"/>
        </w:rPr>
        <w:t>Adolescent-to-parent</w:t>
      </w:r>
      <w:r w:rsidRPr="35B2FBC5" w:rsidR="71145355">
        <w:rPr>
          <w:rFonts w:ascii="Times New Roman" w:hAnsi="Times New Roman" w:eastAsia="Times New Roman" w:cs="Times New Roman"/>
          <w:noProof w:val="0"/>
          <w:sz w:val="24"/>
          <w:szCs w:val="24"/>
          <w:lang w:val="es-CO"/>
        </w:rPr>
        <w:t xml:space="preserve"> abuse: A </w:t>
      </w:r>
      <w:r w:rsidRPr="35B2FBC5" w:rsidR="71145355">
        <w:rPr>
          <w:rFonts w:ascii="Times New Roman" w:hAnsi="Times New Roman" w:eastAsia="Times New Roman" w:cs="Times New Roman"/>
          <w:noProof w:val="0"/>
          <w:sz w:val="24"/>
          <w:szCs w:val="24"/>
          <w:lang w:val="es-CO"/>
        </w:rPr>
        <w:t>qualitative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overview</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of</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common</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themes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Journal</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of</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Family</w:t>
      </w:r>
      <w:r w:rsidRPr="35B2FBC5" w:rsidR="71145355">
        <w:rPr>
          <w:rFonts w:ascii="Times New Roman" w:hAnsi="Times New Roman" w:eastAsia="Times New Roman" w:cs="Times New Roman"/>
          <w:i w:val="1"/>
          <w:iCs w:val="1"/>
          <w:noProof w:val="0"/>
          <w:sz w:val="24"/>
          <w:szCs w:val="24"/>
          <w:lang w:val="es-CO"/>
        </w:rPr>
        <w:t xml:space="preserve"> Issues, 25</w:t>
      </w:r>
      <w:r w:rsidRPr="35B2FBC5" w:rsidR="71145355">
        <w:rPr>
          <w:rFonts w:ascii="Times New Roman" w:hAnsi="Times New Roman" w:eastAsia="Times New Roman" w:cs="Times New Roman"/>
          <w:noProof w:val="0"/>
          <w:sz w:val="24"/>
          <w:szCs w:val="24"/>
          <w:lang w:val="es-CO"/>
        </w:rPr>
        <w:t>, 1072-1095.</w:t>
      </w:r>
      <w:r w:rsidRPr="35B2FBC5" w:rsidR="71145355">
        <w:rPr>
          <w:rFonts w:ascii="Arial" w:hAnsi="Arial" w:eastAsia="Arial" w:cs="Arial"/>
          <w:noProof w:val="0"/>
          <w:sz w:val="24"/>
          <w:szCs w:val="24"/>
          <w:lang w:val="es-CO"/>
        </w:rPr>
        <w:t xml:space="preserve"> </w:t>
      </w:r>
    </w:p>
    <w:p w:rsidR="71145355" w:rsidP="35B2FBC5" w:rsidRDefault="71145355" w14:paraId="4F594FE1" w14:textId="3FEEBB89">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Daly, K., </w:t>
      </w:r>
      <w:r w:rsidRPr="35B2FBC5" w:rsidR="71145355">
        <w:rPr>
          <w:rFonts w:ascii="Times New Roman" w:hAnsi="Times New Roman" w:eastAsia="Times New Roman" w:cs="Times New Roman"/>
          <w:noProof w:val="0"/>
          <w:sz w:val="24"/>
          <w:szCs w:val="24"/>
          <w:lang w:val="es-CO"/>
        </w:rPr>
        <w:t xml:space="preserve">y Wade, D. (2015). </w:t>
      </w:r>
      <w:r w:rsidRPr="35B2FBC5" w:rsidR="71145355">
        <w:rPr>
          <w:rFonts w:ascii="Times New Roman" w:hAnsi="Times New Roman" w:eastAsia="Times New Roman" w:cs="Times New Roman"/>
          <w:noProof w:val="0"/>
          <w:sz w:val="24"/>
          <w:szCs w:val="24"/>
          <w:lang w:val="es-CO"/>
        </w:rPr>
        <w:t>Gender</w:t>
      </w:r>
      <w:r w:rsidRPr="35B2FBC5" w:rsidR="71145355">
        <w:rPr>
          <w:rFonts w:ascii="Times New Roman" w:hAnsi="Times New Roman" w:eastAsia="Times New Roman" w:cs="Times New Roman"/>
          <w:noProof w:val="0"/>
          <w:sz w:val="24"/>
          <w:szCs w:val="24"/>
          <w:lang w:val="es-CO"/>
        </w:rPr>
        <w:t xml:space="preserve"> and </w:t>
      </w:r>
      <w:r w:rsidRPr="35B2FBC5" w:rsidR="71145355">
        <w:rPr>
          <w:rFonts w:ascii="Times New Roman" w:hAnsi="Times New Roman" w:eastAsia="Times New Roman" w:cs="Times New Roman"/>
          <w:noProof w:val="0"/>
          <w:sz w:val="24"/>
          <w:szCs w:val="24"/>
          <w:lang w:val="es-CO"/>
        </w:rPr>
        <w:t>adolescent-to-parent</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violence</w:t>
      </w:r>
      <w:r w:rsidRPr="35B2FBC5" w:rsidR="71145355">
        <w:rPr>
          <w:rFonts w:ascii="Times New Roman" w:hAnsi="Times New Roman" w:eastAsia="Times New Roman" w:cs="Times New Roman"/>
          <w:noProof w:val="0"/>
          <w:sz w:val="24"/>
          <w:szCs w:val="24"/>
          <w:lang w:val="es-CO"/>
        </w:rPr>
        <w:t xml:space="preserve">: A </w:t>
      </w:r>
      <w:r w:rsidRPr="35B2FBC5" w:rsidR="71145355">
        <w:rPr>
          <w:rFonts w:ascii="Times New Roman" w:hAnsi="Times New Roman" w:eastAsia="Times New Roman" w:cs="Times New Roman"/>
          <w:noProof w:val="0"/>
          <w:sz w:val="24"/>
          <w:szCs w:val="24"/>
          <w:lang w:val="es-CO"/>
        </w:rPr>
        <w:t>systematic</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analysis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of</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typical</w:t>
      </w:r>
      <w:r w:rsidRPr="35B2FBC5" w:rsidR="71145355">
        <w:rPr>
          <w:rFonts w:ascii="Times New Roman" w:hAnsi="Times New Roman" w:eastAsia="Times New Roman" w:cs="Times New Roman"/>
          <w:noProof w:val="0"/>
          <w:sz w:val="24"/>
          <w:szCs w:val="24"/>
          <w:lang w:val="es-CO"/>
        </w:rPr>
        <w:t xml:space="preserve"> and </w:t>
      </w:r>
      <w:r w:rsidRPr="35B2FBC5" w:rsidR="71145355">
        <w:rPr>
          <w:rFonts w:ascii="Times New Roman" w:hAnsi="Times New Roman" w:eastAsia="Times New Roman" w:cs="Times New Roman"/>
          <w:noProof w:val="0"/>
          <w:sz w:val="24"/>
          <w:szCs w:val="24"/>
          <w:lang w:val="es-CO"/>
        </w:rPr>
        <w:t>atypical</w:t>
      </w:r>
      <w:r w:rsidRPr="35B2FBC5" w:rsidR="71145355">
        <w:rPr>
          <w:rFonts w:ascii="Times New Roman" w:hAnsi="Times New Roman" w:eastAsia="Times New Roman" w:cs="Times New Roman"/>
          <w:noProof w:val="0"/>
          <w:sz w:val="24"/>
          <w:szCs w:val="24"/>
          <w:lang w:val="es-CO"/>
        </w:rPr>
        <w:t xml:space="preserve"> cases. </w:t>
      </w:r>
      <w:hyperlink r:id="R9c1b43b367974b65">
        <w:r w:rsidRPr="35B2FBC5" w:rsidR="71145355">
          <w:rPr>
            <w:rStyle w:val="Hipervnculo"/>
            <w:rFonts w:ascii="Arial" w:hAnsi="Arial" w:eastAsia="Arial" w:cs="Arial"/>
            <w:strike w:val="0"/>
            <w:dstrike w:val="0"/>
            <w:noProof w:val="0"/>
            <w:color w:val="0563C1"/>
            <w:sz w:val="24"/>
            <w:szCs w:val="24"/>
            <w:u w:val="single"/>
            <w:lang w:val="es-CO"/>
          </w:rPr>
          <w:t>https://www.griffith.edu.au/__data/assets/pdf_file/0024/226734/2016-Daly-and-Wade-Genderand-Adolescent-pre-print.pdf</w:t>
        </w:r>
      </w:hyperlink>
      <w:r w:rsidRPr="35B2FBC5" w:rsidR="71145355">
        <w:rPr>
          <w:rFonts w:ascii="Arial" w:hAnsi="Arial" w:eastAsia="Arial" w:cs="Arial"/>
          <w:noProof w:val="0"/>
          <w:sz w:val="24"/>
          <w:szCs w:val="24"/>
          <w:lang w:val="es-CO"/>
        </w:rPr>
        <w:t xml:space="preserve">. </w:t>
      </w:r>
    </w:p>
    <w:p w:rsidR="71145355" w:rsidP="35B2FBC5" w:rsidRDefault="71145355" w14:paraId="319A2728" w14:textId="3B7A3229">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Dowden</w:t>
      </w:r>
      <w:r w:rsidRPr="35B2FBC5" w:rsidR="71145355">
        <w:rPr>
          <w:rFonts w:ascii="Times New Roman" w:hAnsi="Times New Roman" w:eastAsia="Times New Roman" w:cs="Times New Roman"/>
          <w:noProof w:val="0"/>
          <w:sz w:val="24"/>
          <w:szCs w:val="24"/>
          <w:lang w:val="es-CO"/>
        </w:rPr>
        <w:t xml:space="preserve">, C., </w:t>
      </w:r>
      <w:r w:rsidRPr="35B2FBC5" w:rsidR="71145355">
        <w:rPr>
          <w:rFonts w:ascii="Times New Roman" w:hAnsi="Times New Roman" w:eastAsia="Times New Roman" w:cs="Times New Roman"/>
          <w:noProof w:val="0"/>
          <w:sz w:val="24"/>
          <w:szCs w:val="24"/>
          <w:lang w:val="es-CO"/>
        </w:rPr>
        <w:t>Latimer</w:t>
      </w:r>
      <w:r w:rsidRPr="35B2FBC5" w:rsidR="71145355">
        <w:rPr>
          <w:rFonts w:ascii="Times New Roman" w:hAnsi="Times New Roman" w:eastAsia="Times New Roman" w:cs="Times New Roman"/>
          <w:noProof w:val="0"/>
          <w:sz w:val="24"/>
          <w:szCs w:val="24"/>
          <w:lang w:val="es-CO"/>
        </w:rPr>
        <w:t xml:space="preserve">, J., y </w:t>
      </w:r>
      <w:r w:rsidRPr="35B2FBC5" w:rsidR="71145355">
        <w:rPr>
          <w:rFonts w:ascii="Times New Roman" w:hAnsi="Times New Roman" w:eastAsia="Times New Roman" w:cs="Times New Roman"/>
          <w:noProof w:val="0"/>
          <w:sz w:val="24"/>
          <w:szCs w:val="24"/>
          <w:lang w:val="es-CO"/>
        </w:rPr>
        <w:t>Muise</w:t>
      </w:r>
      <w:r w:rsidRPr="35B2FBC5" w:rsidR="71145355">
        <w:rPr>
          <w:rFonts w:ascii="Times New Roman" w:hAnsi="Times New Roman" w:eastAsia="Times New Roman" w:cs="Times New Roman"/>
          <w:noProof w:val="0"/>
          <w:sz w:val="24"/>
          <w:szCs w:val="24"/>
          <w:lang w:val="es-CO"/>
        </w:rPr>
        <w:t xml:space="preserve">, D. (2005). </w:t>
      </w:r>
      <w:r w:rsidRPr="35B2FBC5" w:rsidR="71145355">
        <w:rPr>
          <w:rFonts w:ascii="Times New Roman" w:hAnsi="Times New Roman" w:eastAsia="Times New Roman" w:cs="Times New Roman"/>
          <w:noProof w:val="0"/>
          <w:sz w:val="24"/>
          <w:szCs w:val="24"/>
          <w:lang w:val="es-CO"/>
        </w:rPr>
        <w:t>The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effectiveness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of</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restorative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justice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practices</w:t>
      </w:r>
      <w:r w:rsidRPr="35B2FBC5" w:rsidR="71145355">
        <w:rPr>
          <w:rFonts w:ascii="Times New Roman" w:hAnsi="Times New Roman" w:eastAsia="Times New Roman" w:cs="Times New Roman"/>
          <w:noProof w:val="0"/>
          <w:sz w:val="24"/>
          <w:szCs w:val="24"/>
          <w:lang w:val="es-CO"/>
        </w:rPr>
        <w:t>: A meta-</w:t>
      </w:r>
      <w:r w:rsidRPr="35B2FBC5" w:rsidR="71145355">
        <w:rPr>
          <w:rFonts w:ascii="Times New Roman" w:hAnsi="Times New Roman" w:eastAsia="Times New Roman" w:cs="Times New Roman"/>
          <w:noProof w:val="0"/>
          <w:sz w:val="24"/>
          <w:szCs w:val="24"/>
          <w:lang w:val="es-CO"/>
        </w:rPr>
        <w:t>analysis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The</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Prison</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Journal</w:t>
      </w:r>
      <w:r w:rsidRPr="35B2FBC5" w:rsidR="71145355">
        <w:rPr>
          <w:rFonts w:ascii="Times New Roman" w:hAnsi="Times New Roman" w:eastAsia="Times New Roman" w:cs="Times New Roman"/>
          <w:i w:val="1"/>
          <w:iCs w:val="1"/>
          <w:noProof w:val="0"/>
          <w:sz w:val="24"/>
          <w:szCs w:val="24"/>
          <w:lang w:val="es-CO"/>
        </w:rPr>
        <w:t>, 85</w:t>
      </w:r>
      <w:r w:rsidRPr="35B2FBC5" w:rsidR="71145355">
        <w:rPr>
          <w:rFonts w:ascii="Times New Roman" w:hAnsi="Times New Roman" w:eastAsia="Times New Roman" w:cs="Times New Roman"/>
          <w:noProof w:val="0"/>
          <w:sz w:val="24"/>
          <w:szCs w:val="24"/>
          <w:lang w:val="es-CO"/>
        </w:rPr>
        <w:t>, 127-144.</w:t>
      </w:r>
      <w:r w:rsidRPr="35B2FBC5" w:rsidR="71145355">
        <w:rPr>
          <w:rFonts w:ascii="Arial" w:hAnsi="Arial" w:eastAsia="Arial" w:cs="Arial"/>
          <w:noProof w:val="0"/>
          <w:sz w:val="24"/>
          <w:szCs w:val="24"/>
          <w:lang w:val="es-CO"/>
        </w:rPr>
        <w:t xml:space="preserve"> </w:t>
      </w:r>
    </w:p>
    <w:p w:rsidR="71145355" w:rsidP="35B2FBC5" w:rsidRDefault="71145355" w14:paraId="5C6188E2" w14:textId="039E8E6C">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 xml:space="preserve">Freeman, K. (2018). Domestic and family violence by juvenile offenders: Offender, </w:t>
      </w:r>
      <w:r w:rsidRPr="35B2FBC5" w:rsidR="71145355">
        <w:rPr>
          <w:rFonts w:ascii="Times New Roman" w:hAnsi="Times New Roman" w:eastAsia="Times New Roman" w:cs="Times New Roman"/>
          <w:noProof w:val="0"/>
          <w:sz w:val="24"/>
          <w:szCs w:val="24"/>
          <w:lang w:val="en-US"/>
        </w:rPr>
        <w:t>victim</w:t>
      </w:r>
      <w:r w:rsidRPr="35B2FBC5" w:rsidR="71145355">
        <w:rPr>
          <w:rFonts w:ascii="Times New Roman" w:hAnsi="Times New Roman" w:eastAsia="Times New Roman" w:cs="Times New Roman"/>
          <w:noProof w:val="0"/>
          <w:sz w:val="24"/>
          <w:szCs w:val="24"/>
          <w:lang w:val="en-US"/>
        </w:rPr>
        <w:t xml:space="preserve"> and incident characteristics. </w:t>
      </w:r>
      <w:hyperlink r:id="Ra91f5d5f2e924b46">
        <w:r w:rsidRPr="35B2FBC5" w:rsidR="71145355">
          <w:rPr>
            <w:rStyle w:val="Hipervnculo"/>
            <w:rFonts w:ascii="Arial" w:hAnsi="Arial" w:eastAsia="Arial" w:cs="Arial"/>
            <w:strike w:val="0"/>
            <w:dstrike w:val="0"/>
            <w:noProof w:val="0"/>
            <w:color w:val="0563C1"/>
            <w:sz w:val="24"/>
            <w:szCs w:val="24"/>
            <w:u w:val="single"/>
            <w:lang w:val="en-US"/>
          </w:rPr>
          <w:t>https://www.bocsar.nsw.gov.au/Publications/BB/2018-Report-Domestic-and-family-violence-by-juvenile-offenders-BB136.pdf</w:t>
        </w:r>
      </w:hyperlink>
      <w:r w:rsidRPr="35B2FBC5" w:rsidR="71145355">
        <w:rPr>
          <w:rFonts w:ascii="Arial" w:hAnsi="Arial" w:eastAsia="Arial" w:cs="Arial"/>
          <w:noProof w:val="0"/>
          <w:sz w:val="24"/>
          <w:szCs w:val="24"/>
          <w:lang w:val="en-US"/>
        </w:rPr>
        <w:t xml:space="preserve">. </w:t>
      </w:r>
    </w:p>
    <w:p w:rsidR="71145355" w:rsidP="35B2FBC5" w:rsidRDefault="71145355" w14:paraId="058E9CC2" w14:textId="12181C9A">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Gallagher, E. (2008). </w:t>
      </w:r>
      <w:r w:rsidRPr="35B2FBC5" w:rsidR="71145355">
        <w:rPr>
          <w:rFonts w:ascii="Times New Roman" w:hAnsi="Times New Roman" w:eastAsia="Times New Roman" w:cs="Times New Roman"/>
          <w:i w:val="1"/>
          <w:iCs w:val="1"/>
          <w:noProof w:val="0"/>
          <w:sz w:val="24"/>
          <w:szCs w:val="24"/>
          <w:lang w:val="es-CO"/>
        </w:rPr>
        <w:t>Children's</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violence</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to</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parents</w:t>
      </w:r>
      <w:r w:rsidRPr="35B2FBC5" w:rsidR="71145355">
        <w:rPr>
          <w:rFonts w:ascii="Times New Roman" w:hAnsi="Times New Roman" w:eastAsia="Times New Roman" w:cs="Times New Roman"/>
          <w:i w:val="1"/>
          <w:iCs w:val="1"/>
          <w:noProof w:val="0"/>
          <w:sz w:val="24"/>
          <w:szCs w:val="24"/>
          <w:lang w:val="es-CO"/>
        </w:rPr>
        <w:t xml:space="preserve">: A </w:t>
      </w:r>
      <w:r w:rsidRPr="35B2FBC5" w:rsidR="71145355">
        <w:rPr>
          <w:rFonts w:ascii="Times New Roman" w:hAnsi="Times New Roman" w:eastAsia="Times New Roman" w:cs="Times New Roman"/>
          <w:i w:val="1"/>
          <w:iCs w:val="1"/>
          <w:noProof w:val="0"/>
          <w:sz w:val="24"/>
          <w:szCs w:val="24"/>
          <w:lang w:val="es-CO"/>
        </w:rPr>
        <w:t>critical</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literature</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review</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 xml:space="preserve">(Doctoral </w:t>
      </w:r>
      <w:r w:rsidRPr="35B2FBC5" w:rsidR="71145355">
        <w:rPr>
          <w:rFonts w:ascii="Times New Roman" w:hAnsi="Times New Roman" w:eastAsia="Times New Roman" w:cs="Times New Roman"/>
          <w:noProof w:val="0"/>
          <w:sz w:val="24"/>
          <w:szCs w:val="24"/>
          <w:lang w:val="es-CO"/>
        </w:rPr>
        <w:t>dissertation</w:t>
      </w:r>
      <w:r w:rsidRPr="35B2FBC5" w:rsidR="71145355">
        <w:rPr>
          <w:rFonts w:ascii="Times New Roman" w:hAnsi="Times New Roman" w:eastAsia="Times New Roman" w:cs="Times New Roman"/>
          <w:noProof w:val="0"/>
          <w:sz w:val="24"/>
          <w:szCs w:val="24"/>
          <w:lang w:val="es-CO"/>
        </w:rPr>
        <w:t xml:space="preserve">, Monash </w:t>
      </w:r>
      <w:r w:rsidRPr="35B2FBC5" w:rsidR="71145355">
        <w:rPr>
          <w:rFonts w:ascii="Times New Roman" w:hAnsi="Times New Roman" w:eastAsia="Times New Roman" w:cs="Times New Roman"/>
          <w:noProof w:val="0"/>
          <w:sz w:val="24"/>
          <w:szCs w:val="24"/>
          <w:lang w:val="es-CO"/>
        </w:rPr>
        <w:t>University</w:t>
      </w:r>
      <w:r w:rsidRPr="35B2FBC5" w:rsidR="71145355">
        <w:rPr>
          <w:rFonts w:ascii="Times New Roman" w:hAnsi="Times New Roman" w:eastAsia="Times New Roman" w:cs="Times New Roman"/>
          <w:noProof w:val="0"/>
          <w:sz w:val="24"/>
          <w:szCs w:val="24"/>
          <w:lang w:val="es-CO"/>
        </w:rPr>
        <w:t>).</w:t>
      </w:r>
      <w:r w:rsidRPr="35B2FBC5" w:rsidR="71145355">
        <w:rPr>
          <w:rFonts w:ascii="Arial" w:hAnsi="Arial" w:eastAsia="Arial" w:cs="Arial"/>
          <w:noProof w:val="0"/>
          <w:sz w:val="24"/>
          <w:szCs w:val="24"/>
          <w:lang w:val="es-CO"/>
        </w:rPr>
        <w:t xml:space="preserve"> </w:t>
      </w:r>
    </w:p>
    <w:p w:rsidR="71145355" w:rsidP="35B2FBC5" w:rsidRDefault="71145355" w14:paraId="236DC695" w14:textId="6EEDED88">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Garrid</w:t>
      </w:r>
      <w:r w:rsidRPr="35B2FBC5" w:rsidR="71145355">
        <w:rPr>
          <w:rFonts w:ascii="Times New Roman" w:hAnsi="Times New Roman" w:eastAsia="Times New Roman" w:cs="Times New Roman"/>
          <w:noProof w:val="0"/>
          <w:sz w:val="24"/>
          <w:szCs w:val="24"/>
          <w:lang w:val="es-CO"/>
        </w:rPr>
        <w:t xml:space="preserve">o, V. (2007). Prevención de la violencia </w:t>
      </w:r>
      <w:r w:rsidRPr="35B2FBC5" w:rsidR="71145355">
        <w:rPr>
          <w:rFonts w:ascii="Times New Roman" w:hAnsi="Times New Roman" w:eastAsia="Times New Roman" w:cs="Times New Roman"/>
          <w:noProof w:val="0"/>
          <w:sz w:val="24"/>
          <w:szCs w:val="24"/>
          <w:lang w:val="es-CO"/>
        </w:rPr>
        <w:t>filioparental</w:t>
      </w:r>
      <w:r w:rsidRPr="35B2FBC5" w:rsidR="71145355">
        <w:rPr>
          <w:rFonts w:ascii="Times New Roman" w:hAnsi="Times New Roman" w:eastAsia="Times New Roman" w:cs="Times New Roman"/>
          <w:noProof w:val="0"/>
          <w:sz w:val="24"/>
          <w:szCs w:val="24"/>
          <w:lang w:val="es-CO"/>
        </w:rPr>
        <w:t>: Modelo de Cantabria.</w:t>
      </w:r>
      <w:r w:rsidRPr="35B2FBC5" w:rsidR="71145355">
        <w:rPr>
          <w:rFonts w:ascii="Arial" w:hAnsi="Arial" w:eastAsia="Arial" w:cs="Arial"/>
          <w:noProof w:val="0"/>
          <w:sz w:val="24"/>
          <w:szCs w:val="24"/>
          <w:lang w:val="es-CO"/>
        </w:rPr>
        <w:t xml:space="preserve"> </w:t>
      </w:r>
    </w:p>
    <w:p w:rsidR="71145355" w:rsidP="35B2FBC5" w:rsidRDefault="71145355" w14:paraId="334CB56F" w14:textId="58EC848D">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Garrido, V. (2008). El Síndrome del Emperador y sus desafíos en el ámbito científico y profesional. Ponencia en la Jornadas sobre Violencia Intrafamiliar, Valencia, 28-29.  </w:t>
      </w:r>
    </w:p>
    <w:p w:rsidR="71145355" w:rsidP="35B2FBC5" w:rsidRDefault="71145355" w14:paraId="5EFDC1E9" w14:textId="148F4A29">
      <w:pPr>
        <w:spacing w:before="0" w:beforeAutospacing="off" w:after="0" w:afterAutospacing="off" w:line="480" w:lineRule="auto"/>
        <w:ind w:left="630" w:right="0" w:hanging="630"/>
        <w:jc w:val="both"/>
      </w:pPr>
      <w:r w:rsidRPr="35B2FBC5" w:rsidR="71145355">
        <w:rPr>
          <w:rFonts w:ascii="Arial" w:hAnsi="Arial" w:eastAsia="Arial" w:cs="Arial"/>
          <w:noProof w:val="0"/>
          <w:color w:val="000000" w:themeColor="text1" w:themeTint="FF" w:themeShade="FF"/>
          <w:sz w:val="24"/>
          <w:szCs w:val="24"/>
          <w:lang w:val="es"/>
        </w:rPr>
        <w:t xml:space="preserve">González-Álvarez, M., </w:t>
      </w:r>
      <w:r w:rsidRPr="35B2FBC5" w:rsidR="71145355">
        <w:rPr>
          <w:rFonts w:ascii="Times New Roman" w:hAnsi="Times New Roman" w:eastAsia="Times New Roman" w:cs="Times New Roman"/>
          <w:noProof w:val="0"/>
          <w:sz w:val="24"/>
          <w:szCs w:val="24"/>
          <w:lang w:val="es"/>
        </w:rPr>
        <w:t>Gesteira</w:t>
      </w:r>
      <w:r w:rsidRPr="35B2FBC5" w:rsidR="71145355">
        <w:rPr>
          <w:rFonts w:ascii="Times New Roman" w:hAnsi="Times New Roman" w:eastAsia="Times New Roman" w:cs="Times New Roman"/>
          <w:noProof w:val="0"/>
          <w:sz w:val="24"/>
          <w:szCs w:val="24"/>
          <w:lang w:val="es"/>
        </w:rPr>
        <w:t xml:space="preserve"> Santos, C., Fernández-Arias, I., &amp; García-Vera, M. P. (2010). Adolescentes que agreden a sus padres: Un análisis descriptivo de los </w:t>
      </w:r>
      <w:r w:rsidRPr="35B2FBC5" w:rsidR="71145355">
        <w:rPr>
          <w:rFonts w:ascii="Arial" w:hAnsi="Arial" w:eastAsia="Arial" w:cs="Arial"/>
          <w:noProof w:val="0"/>
          <w:color w:val="000000" w:themeColor="text1" w:themeTint="FF" w:themeShade="FF"/>
          <w:sz w:val="24"/>
          <w:szCs w:val="24"/>
          <w:lang w:val="es"/>
        </w:rPr>
        <w:t>menores</w:t>
      </w:r>
      <w:r w:rsidRPr="35B2FBC5" w:rsidR="71145355">
        <w:rPr>
          <w:rFonts w:ascii="Times New Roman" w:hAnsi="Times New Roman" w:eastAsia="Times New Roman" w:cs="Times New Roman"/>
          <w:noProof w:val="0"/>
          <w:sz w:val="24"/>
          <w:szCs w:val="24"/>
          <w:lang w:val="es"/>
        </w:rPr>
        <w:t xml:space="preserve"> </w:t>
      </w:r>
      <w:r w:rsidRPr="35B2FBC5" w:rsidR="71145355">
        <w:rPr>
          <w:rFonts w:ascii="Arial" w:hAnsi="Arial" w:eastAsia="Arial" w:cs="Arial"/>
          <w:noProof w:val="0"/>
          <w:color w:val="000000" w:themeColor="text1" w:themeTint="FF" w:themeShade="FF"/>
          <w:sz w:val="24"/>
          <w:szCs w:val="24"/>
          <w:lang w:val="es"/>
        </w:rPr>
        <w:t xml:space="preserve">agresores. Psicopatología Clínica Legal y Forense, 10, 37-53 </w:t>
      </w:r>
      <w:hyperlink r:id="R08e2500f59c24bec">
        <w:r w:rsidRPr="35B2FBC5" w:rsidR="71145355">
          <w:rPr>
            <w:rStyle w:val="Hipervnculo"/>
            <w:rFonts w:ascii="Arial" w:hAnsi="Arial" w:eastAsia="Arial" w:cs="Arial"/>
            <w:strike w:val="0"/>
            <w:dstrike w:val="0"/>
            <w:noProof w:val="0"/>
            <w:sz w:val="24"/>
            <w:szCs w:val="24"/>
            <w:lang w:val="es"/>
          </w:rPr>
          <w:t>(27) Adolescentes que agreden a sus padres. Un análisis descriptivo de los menores</w:t>
        </w:r>
        <w:r w:rsidRPr="35B2FBC5" w:rsidR="71145355">
          <w:rPr>
            <w:rStyle w:val="Hipervnculo"/>
            <w:rFonts w:ascii="Segoe UI" w:hAnsi="Segoe UI" w:eastAsia="Segoe UI" w:cs="Segoe UI"/>
            <w:strike w:val="0"/>
            <w:dstrike w:val="0"/>
            <w:noProof w:val="0"/>
            <w:sz w:val="18"/>
            <w:szCs w:val="18"/>
            <w:lang w:val="es"/>
          </w:rPr>
          <w:t xml:space="preserve"> </w:t>
        </w:r>
        <w:r w:rsidRPr="35B2FBC5" w:rsidR="71145355">
          <w:rPr>
            <w:rStyle w:val="Hipervnculo"/>
            <w:rFonts w:ascii="Arial" w:hAnsi="Arial" w:eastAsia="Arial" w:cs="Arial"/>
            <w:strike w:val="0"/>
            <w:dstrike w:val="0"/>
            <w:noProof w:val="0"/>
            <w:color w:val="0563C1"/>
            <w:sz w:val="24"/>
            <w:szCs w:val="24"/>
            <w:u w:val="single"/>
            <w:lang w:val="es"/>
          </w:rPr>
          <w:t>agresores | Ignacio Fernández Arias - Academia.edu</w:t>
        </w:r>
      </w:hyperlink>
      <w:r w:rsidRPr="35B2FBC5" w:rsidR="71145355">
        <w:rPr>
          <w:rFonts w:ascii="Arial" w:hAnsi="Arial" w:eastAsia="Arial" w:cs="Arial"/>
          <w:noProof w:val="0"/>
          <w:color w:val="000000" w:themeColor="text1" w:themeTint="FF" w:themeShade="FF"/>
          <w:sz w:val="24"/>
          <w:szCs w:val="24"/>
          <w:lang w:val="es"/>
        </w:rPr>
        <w:t xml:space="preserve"> </w:t>
      </w:r>
      <w:r w:rsidRPr="35B2FBC5" w:rsidR="71145355">
        <w:rPr>
          <w:rFonts w:ascii="Arial" w:hAnsi="Arial" w:eastAsia="Arial" w:cs="Arial"/>
          <w:noProof w:val="0"/>
          <w:sz w:val="24"/>
          <w:szCs w:val="24"/>
          <w:lang w:val="es-CO"/>
        </w:rPr>
        <w:t xml:space="preserve">  </w:t>
      </w:r>
    </w:p>
    <w:p w:rsidR="40DCDCD8" w:rsidP="6F35DEAE" w:rsidRDefault="40DCDCD8" w14:paraId="1858A68C" w14:textId="6389DE03">
      <w:pPr>
        <w:spacing w:before="0" w:beforeAutospacing="off" w:after="0" w:afterAutospacing="off" w:line="480" w:lineRule="auto"/>
        <w:ind w:left="630" w:right="0" w:hanging="630"/>
        <w:jc w:val="both"/>
        <w:rPr>
          <w:rFonts w:ascii="Arial" w:hAnsi="Arial" w:eastAsia="Arial" w:cs="Arial"/>
          <w:noProof w:val="0"/>
          <w:sz w:val="24"/>
          <w:szCs w:val="24"/>
          <w:lang w:val="es-CO"/>
        </w:rPr>
      </w:pPr>
      <w:r w:rsidRPr="6F35DEAE" w:rsidR="40DCDCD8">
        <w:rPr>
          <w:rFonts w:ascii="Arial" w:hAnsi="Arial" w:eastAsia="Arial" w:cs="Arial" w:asciiTheme="minorAscii" w:hAnsiTheme="minorAscii" w:eastAsiaTheme="minorAscii" w:cstheme="minorBidi"/>
          <w:noProof w:val="0"/>
          <w:color w:val="auto"/>
          <w:sz w:val="24"/>
          <w:szCs w:val="24"/>
          <w:lang w:val="es-CO" w:eastAsia="en-US" w:bidi="ar-SA"/>
        </w:rPr>
        <w:t>G</w:t>
      </w:r>
      <w:r w:rsidRPr="6F35DEAE" w:rsidR="40DCDCD8">
        <w:rPr>
          <w:rFonts w:ascii="Arial" w:hAnsi="Arial" w:eastAsia="Arial" w:cs="Arial" w:asciiTheme="minorAscii" w:hAnsiTheme="minorAscii" w:eastAsiaTheme="minorAscii" w:cstheme="minorBidi"/>
          <w:noProof w:val="0"/>
          <w:color w:val="auto"/>
          <w:sz w:val="24"/>
          <w:szCs w:val="24"/>
          <w:lang w:val="es-CO" w:eastAsia="en-US" w:bidi="ar-SA"/>
        </w:rPr>
        <w:t>o</w:t>
      </w:r>
      <w:r w:rsidRPr="6F35DEAE" w:rsidR="40DCDCD8">
        <w:rPr>
          <w:rFonts w:ascii="Arial" w:hAnsi="Arial" w:eastAsia="Arial" w:cs="Arial" w:asciiTheme="minorAscii" w:hAnsiTheme="minorAscii" w:eastAsiaTheme="minorAscii" w:cstheme="minorBidi"/>
          <w:noProof w:val="0"/>
          <w:color w:val="auto"/>
          <w:sz w:val="24"/>
          <w:szCs w:val="24"/>
          <w:lang w:val="es-CO" w:eastAsia="en-US" w:bidi="ar-SA"/>
        </w:rPr>
        <w:t>nzález Álvarez, M. (2012). Violencia intrafamiliar: características descriptivas, factores de riesgo y propuesta de un plan de intervención.</w:t>
      </w:r>
    </w:p>
    <w:p w:rsidR="71145355" w:rsidP="35B2FBC5" w:rsidRDefault="71145355" w14:paraId="584690AB" w14:textId="4F5EE417">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Gutiérrez, M. R., y Fernández, S. (2018). Artistas en el aula: estudio de un caso sobre trabajo colaborativo en el ámbito de las artes plásticas y visuales. Arte, individuo y sociedad, 30(2), 361-374.    </w:t>
      </w:r>
    </w:p>
    <w:p w:rsidR="71145355" w:rsidP="35B2FBC5" w:rsidRDefault="71145355" w14:paraId="52167E3A" w14:textId="5E67B967">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Hamui</w:t>
      </w:r>
      <w:r w:rsidRPr="35B2FBC5" w:rsidR="71145355">
        <w:rPr>
          <w:rFonts w:ascii="Times New Roman" w:hAnsi="Times New Roman" w:eastAsia="Times New Roman" w:cs="Times New Roman"/>
          <w:noProof w:val="0"/>
          <w:sz w:val="24"/>
          <w:szCs w:val="24"/>
          <w:lang w:val="es-CO"/>
        </w:rPr>
        <w:t xml:space="preserve">, A. (2013). Un acercamiento a los métodos mixtos de investigación en educación médica. </w:t>
      </w:r>
      <w:r w:rsidRPr="35B2FBC5" w:rsidR="71145355">
        <w:rPr>
          <w:rFonts w:ascii="Times New Roman" w:hAnsi="Times New Roman" w:eastAsia="Times New Roman" w:cs="Times New Roman"/>
          <w:i w:val="1"/>
          <w:iCs w:val="1"/>
          <w:noProof w:val="0"/>
          <w:sz w:val="24"/>
          <w:szCs w:val="24"/>
          <w:lang w:val="es-CO"/>
        </w:rPr>
        <w:t>Investigación en Educación Médica, 2</w:t>
      </w:r>
      <w:r w:rsidRPr="35B2FBC5" w:rsidR="71145355">
        <w:rPr>
          <w:rFonts w:ascii="Times New Roman" w:hAnsi="Times New Roman" w:eastAsia="Times New Roman" w:cs="Times New Roman"/>
          <w:noProof w:val="0"/>
          <w:sz w:val="24"/>
          <w:szCs w:val="24"/>
          <w:lang w:val="es-CO"/>
        </w:rPr>
        <w:t>, 211-216.</w:t>
      </w:r>
      <w:r w:rsidRPr="35B2FBC5" w:rsidR="71145355">
        <w:rPr>
          <w:rFonts w:ascii="Arial" w:hAnsi="Arial" w:eastAsia="Arial" w:cs="Arial"/>
          <w:noProof w:val="0"/>
          <w:sz w:val="24"/>
          <w:szCs w:val="24"/>
          <w:lang w:val="es-CO"/>
        </w:rPr>
        <w:t xml:space="preserve"> </w:t>
      </w:r>
    </w:p>
    <w:p w:rsidR="71145355" w:rsidP="35B2FBC5" w:rsidRDefault="71145355" w14:paraId="7D2EC421" w14:textId="069C63E9">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Henggeler</w:t>
      </w:r>
      <w:r w:rsidRPr="35B2FBC5" w:rsidR="71145355">
        <w:rPr>
          <w:rFonts w:ascii="Times New Roman" w:hAnsi="Times New Roman" w:eastAsia="Times New Roman" w:cs="Times New Roman"/>
          <w:noProof w:val="0"/>
          <w:sz w:val="24"/>
          <w:szCs w:val="24"/>
          <w:lang w:val="es-CO"/>
        </w:rPr>
        <w:t xml:space="preserve">, S. W. y </w:t>
      </w:r>
      <w:r w:rsidRPr="35B2FBC5" w:rsidR="71145355">
        <w:rPr>
          <w:rFonts w:ascii="Times New Roman" w:hAnsi="Times New Roman" w:eastAsia="Times New Roman" w:cs="Times New Roman"/>
          <w:noProof w:val="0"/>
          <w:sz w:val="24"/>
          <w:szCs w:val="24"/>
          <w:lang w:val="es-CO"/>
        </w:rPr>
        <w:t>Sheidow</w:t>
      </w:r>
      <w:r w:rsidRPr="35B2FBC5" w:rsidR="71145355">
        <w:rPr>
          <w:rFonts w:ascii="Times New Roman" w:hAnsi="Times New Roman" w:eastAsia="Times New Roman" w:cs="Times New Roman"/>
          <w:noProof w:val="0"/>
          <w:sz w:val="24"/>
          <w:szCs w:val="24"/>
          <w:lang w:val="es-CO"/>
        </w:rPr>
        <w:t xml:space="preserve">, A. J. (2012). Tratamientos familiares con apoyo empírico para la conducta delictiva y trastornos de conducta en adolescentes. Revista de Terapia Matrimonial y Familiar, 38(1), 30-58. </w:t>
      </w:r>
      <w:r w:rsidRPr="35B2FBC5" w:rsidR="71145355">
        <w:rPr>
          <w:rFonts w:ascii="Arial" w:hAnsi="Arial" w:eastAsia="Arial" w:cs="Arial"/>
          <w:noProof w:val="0"/>
          <w:sz w:val="24"/>
          <w:szCs w:val="24"/>
          <w:lang w:val="es-CO"/>
        </w:rPr>
        <w:t xml:space="preserve"> </w:t>
      </w:r>
    </w:p>
    <w:p w:rsidR="71145355" w:rsidP="35B2FBC5" w:rsidRDefault="71145355" w14:paraId="3D7C1D18" w14:textId="243F65F3">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Kethineni</w:t>
      </w:r>
      <w:r w:rsidRPr="35B2FBC5" w:rsidR="71145355">
        <w:rPr>
          <w:rFonts w:ascii="Times New Roman" w:hAnsi="Times New Roman" w:eastAsia="Times New Roman" w:cs="Times New Roman"/>
          <w:noProof w:val="0"/>
          <w:sz w:val="24"/>
          <w:szCs w:val="24"/>
          <w:lang w:val="en-US"/>
        </w:rPr>
        <w:t xml:space="preserve">, S. (2004). Youth-on-parent violence in </w:t>
      </w:r>
      <w:r w:rsidRPr="35B2FBC5" w:rsidR="71145355">
        <w:rPr>
          <w:rFonts w:ascii="Times New Roman" w:hAnsi="Times New Roman" w:eastAsia="Times New Roman" w:cs="Times New Roman"/>
          <w:noProof w:val="0"/>
          <w:sz w:val="24"/>
          <w:szCs w:val="24"/>
          <w:lang w:val="en-US"/>
        </w:rPr>
        <w:t>a central</w:t>
      </w:r>
      <w:r w:rsidRPr="35B2FBC5" w:rsidR="71145355">
        <w:rPr>
          <w:rFonts w:ascii="Times New Roman" w:hAnsi="Times New Roman" w:eastAsia="Times New Roman" w:cs="Times New Roman"/>
          <w:noProof w:val="0"/>
          <w:sz w:val="24"/>
          <w:szCs w:val="24"/>
          <w:lang w:val="en-US"/>
        </w:rPr>
        <w:t xml:space="preserve"> Illinois County. </w:t>
      </w:r>
      <w:r w:rsidRPr="35B2FBC5" w:rsidR="71145355">
        <w:rPr>
          <w:rFonts w:ascii="Times New Roman" w:hAnsi="Times New Roman" w:eastAsia="Times New Roman" w:cs="Times New Roman"/>
          <w:i w:val="1"/>
          <w:iCs w:val="1"/>
          <w:noProof w:val="0"/>
          <w:sz w:val="24"/>
          <w:szCs w:val="24"/>
          <w:lang w:val="en-US"/>
        </w:rPr>
        <w:t>Juvenile Violence and Juvenile Justice, 2</w:t>
      </w:r>
      <w:r w:rsidRPr="35B2FBC5" w:rsidR="71145355">
        <w:rPr>
          <w:rFonts w:ascii="Times New Roman" w:hAnsi="Times New Roman" w:eastAsia="Times New Roman" w:cs="Times New Roman"/>
          <w:noProof w:val="0"/>
          <w:sz w:val="24"/>
          <w:szCs w:val="24"/>
          <w:lang w:val="en-US"/>
        </w:rPr>
        <w:t>(4), 374-394.</w:t>
      </w:r>
      <w:r w:rsidRPr="35B2FBC5" w:rsidR="71145355">
        <w:rPr>
          <w:rFonts w:ascii="Arial" w:hAnsi="Arial" w:eastAsia="Arial" w:cs="Arial"/>
          <w:noProof w:val="0"/>
          <w:sz w:val="24"/>
          <w:szCs w:val="24"/>
          <w:lang w:val="en-US"/>
        </w:rPr>
        <w:t xml:space="preserve"> </w:t>
      </w:r>
    </w:p>
    <w:p w:rsidR="71145355" w:rsidP="35B2FBC5" w:rsidRDefault="71145355" w14:paraId="67369512" w14:textId="3206AB63">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Kisnerman</w:t>
      </w:r>
      <w:r w:rsidRPr="35B2FBC5" w:rsidR="71145355">
        <w:rPr>
          <w:rFonts w:ascii="Times New Roman" w:hAnsi="Times New Roman" w:eastAsia="Times New Roman" w:cs="Times New Roman"/>
          <w:noProof w:val="0"/>
          <w:sz w:val="24"/>
          <w:szCs w:val="24"/>
          <w:lang w:val="en-US"/>
        </w:rPr>
        <w:t xml:space="preserve">, N. (1998). Pensar </w:t>
      </w:r>
      <w:r w:rsidRPr="35B2FBC5" w:rsidR="71145355">
        <w:rPr>
          <w:rFonts w:ascii="Times New Roman" w:hAnsi="Times New Roman" w:eastAsia="Times New Roman" w:cs="Times New Roman"/>
          <w:noProof w:val="0"/>
          <w:sz w:val="24"/>
          <w:szCs w:val="24"/>
          <w:lang w:val="en-US"/>
        </w:rPr>
        <w:t>el</w:t>
      </w:r>
      <w:r w:rsidRPr="35B2FBC5" w:rsidR="71145355">
        <w:rPr>
          <w:rFonts w:ascii="Times New Roman" w:hAnsi="Times New Roman" w:eastAsia="Times New Roman" w:cs="Times New Roman"/>
          <w:noProof w:val="0"/>
          <w:sz w:val="24"/>
          <w:szCs w:val="24"/>
          <w:lang w:val="en-US"/>
        </w:rPr>
        <w:t xml:space="preserve"> </w:t>
      </w:r>
      <w:r w:rsidRPr="35B2FBC5" w:rsidR="71145355">
        <w:rPr>
          <w:rFonts w:ascii="Times New Roman" w:hAnsi="Times New Roman" w:eastAsia="Times New Roman" w:cs="Times New Roman"/>
          <w:noProof w:val="0"/>
          <w:sz w:val="24"/>
          <w:szCs w:val="24"/>
          <w:lang w:val="en-US"/>
        </w:rPr>
        <w:t>trabajo</w:t>
      </w:r>
      <w:r w:rsidRPr="35B2FBC5" w:rsidR="71145355">
        <w:rPr>
          <w:rFonts w:ascii="Times New Roman" w:hAnsi="Times New Roman" w:eastAsia="Times New Roman" w:cs="Times New Roman"/>
          <w:noProof w:val="0"/>
          <w:sz w:val="24"/>
          <w:szCs w:val="24"/>
          <w:lang w:val="en-US"/>
        </w:rPr>
        <w:t xml:space="preserve"> social. Sites/Lumen</w:t>
      </w:r>
      <w:r w:rsidRPr="35B2FBC5" w:rsidR="71145355">
        <w:rPr>
          <w:rFonts w:ascii="Times New Roman" w:hAnsi="Times New Roman" w:eastAsia="Times New Roman" w:cs="Times New Roman"/>
          <w:noProof w:val="0"/>
          <w:sz w:val="24"/>
          <w:szCs w:val="24"/>
          <w:lang w:val="en-US"/>
        </w:rPr>
        <w:t xml:space="preserve">.  </w:t>
      </w:r>
      <w:r w:rsidRPr="35B2FBC5" w:rsidR="71145355">
        <w:rPr>
          <w:rFonts w:ascii="Times New Roman" w:hAnsi="Times New Roman" w:eastAsia="Times New Roman" w:cs="Times New Roman"/>
          <w:noProof w:val="0"/>
          <w:sz w:val="24"/>
          <w:szCs w:val="24"/>
          <w:lang w:val="en-US"/>
        </w:rPr>
        <w:t xml:space="preserve"> </w:t>
      </w:r>
      <w:r w:rsidRPr="35B2FBC5" w:rsidR="71145355">
        <w:rPr>
          <w:rFonts w:ascii="Arial" w:hAnsi="Arial" w:eastAsia="Arial" w:cs="Arial"/>
          <w:noProof w:val="0"/>
          <w:sz w:val="24"/>
          <w:szCs w:val="24"/>
          <w:lang w:val="en-US"/>
        </w:rPr>
        <w:t xml:space="preserve"> </w:t>
      </w:r>
    </w:p>
    <w:p w:rsidR="71145355" w:rsidP="35B2FBC5" w:rsidRDefault="71145355" w14:paraId="33DC2A92" w14:textId="35DFF006">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Lanz, P. M., Ocampo, D. B., </w:t>
      </w:r>
      <w:r w:rsidRPr="35B2FBC5" w:rsidR="71145355">
        <w:rPr>
          <w:rFonts w:ascii="Times New Roman" w:hAnsi="Times New Roman" w:eastAsia="Times New Roman" w:cs="Times New Roman"/>
          <w:noProof w:val="0"/>
          <w:sz w:val="24"/>
          <w:szCs w:val="24"/>
          <w:lang w:val="es-CO"/>
        </w:rPr>
        <w:t xml:space="preserve">y González, A. G. (2013). Uso de videojuegos, agresión, sintomatología depresiva y violencia intrafamiliar en adolescentes y adultos jóvenes. </w:t>
      </w:r>
      <w:r w:rsidRPr="35B2FBC5" w:rsidR="71145355">
        <w:rPr>
          <w:rFonts w:ascii="Times New Roman" w:hAnsi="Times New Roman" w:eastAsia="Times New Roman" w:cs="Times New Roman"/>
          <w:i w:val="1"/>
          <w:iCs w:val="1"/>
          <w:noProof w:val="0"/>
          <w:sz w:val="24"/>
          <w:szCs w:val="24"/>
          <w:lang w:val="es-CO"/>
        </w:rPr>
        <w:t>Revista Colombiana de Ciencias Sociales, 4</w:t>
      </w:r>
      <w:r w:rsidRPr="35B2FBC5" w:rsidR="71145355">
        <w:rPr>
          <w:rFonts w:ascii="Times New Roman" w:hAnsi="Times New Roman" w:eastAsia="Times New Roman" w:cs="Times New Roman"/>
          <w:noProof w:val="0"/>
          <w:sz w:val="24"/>
          <w:szCs w:val="24"/>
          <w:lang w:val="es-CO"/>
        </w:rPr>
        <w:t>(2), 167-180.</w:t>
      </w:r>
      <w:r w:rsidRPr="35B2FBC5" w:rsidR="71145355">
        <w:rPr>
          <w:rFonts w:ascii="Arial" w:hAnsi="Arial" w:eastAsia="Arial" w:cs="Arial"/>
          <w:noProof w:val="0"/>
          <w:sz w:val="24"/>
          <w:szCs w:val="24"/>
          <w:lang w:val="es-CO"/>
        </w:rPr>
        <w:t xml:space="preserve"> </w:t>
      </w:r>
    </w:p>
    <w:p w:rsidR="71145355" w:rsidP="35B2FBC5" w:rsidRDefault="71145355" w14:paraId="4A579515" w14:textId="5314BB3D">
      <w:pPr>
        <w:spacing w:before="0" w:beforeAutospacing="off" w:after="0" w:afterAutospacing="off" w:line="480" w:lineRule="auto"/>
        <w:ind w:left="705" w:right="0" w:hanging="705"/>
        <w:jc w:val="both"/>
      </w:pPr>
      <w:r w:rsidRPr="35B2FBC5" w:rsidR="71145355">
        <w:rPr>
          <w:rFonts w:ascii="Arial" w:hAnsi="Arial" w:eastAsia="Arial" w:cs="Arial"/>
          <w:noProof w:val="0"/>
          <w:color w:val="000000" w:themeColor="text1" w:themeTint="FF" w:themeShade="FF"/>
          <w:sz w:val="24"/>
          <w:szCs w:val="24"/>
          <w:lang w:val="es-CO"/>
        </w:rPr>
        <w:t>Lafaurie</w:t>
      </w:r>
      <w:r w:rsidRPr="35B2FBC5" w:rsidR="71145355">
        <w:rPr>
          <w:rFonts w:ascii="Times New Roman" w:hAnsi="Times New Roman" w:eastAsia="Times New Roman" w:cs="Times New Roman"/>
          <w:noProof w:val="0"/>
          <w:sz w:val="24"/>
          <w:szCs w:val="24"/>
          <w:lang w:val="es-CO"/>
        </w:rPr>
        <w:t xml:space="preserve"> Villamil, M. M. (2015). "La violencia intrafamiliar contra las mujeres en Bogotá: una mirada de género". Revista Colombiana de Enfermería, 10(10), 45-54.</w:t>
      </w:r>
      <w:r w:rsidRPr="35B2FBC5" w:rsidR="71145355">
        <w:rPr>
          <w:rFonts w:ascii="Arial" w:hAnsi="Arial" w:eastAsia="Arial" w:cs="Arial"/>
          <w:noProof w:val="0"/>
          <w:color w:val="000000" w:themeColor="text1" w:themeTint="FF" w:themeShade="FF"/>
          <w:sz w:val="24"/>
          <w:szCs w:val="24"/>
          <w:lang w:val="es-CO"/>
        </w:rPr>
        <w:t xml:space="preserve"> </w:t>
      </w:r>
    </w:p>
    <w:p w:rsidR="71145355" w:rsidP="35B2FBC5" w:rsidRDefault="71145355" w14:paraId="79E1AA88" w14:textId="48CE5055">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López, M. R., Torrado, C. J., Galán, C. H., Ocampo, M. D. R. B., Cohen, A. M. S., </w:t>
      </w:r>
      <w:r w:rsidRPr="35B2FBC5" w:rsidR="71145355">
        <w:rPr>
          <w:rFonts w:ascii="Times New Roman" w:hAnsi="Times New Roman" w:eastAsia="Times New Roman" w:cs="Times New Roman"/>
          <w:noProof w:val="0"/>
          <w:sz w:val="24"/>
          <w:szCs w:val="24"/>
          <w:lang w:val="es-CO"/>
        </w:rPr>
        <w:t xml:space="preserve">y de Martínez, M. D. P. M. (2017). Violencia intrafamiliar desde la perspectiva de género: Discurso de víctimas y agresores. </w:t>
      </w:r>
      <w:r w:rsidRPr="35B2FBC5" w:rsidR="71145355">
        <w:rPr>
          <w:rFonts w:ascii="Times New Roman" w:hAnsi="Times New Roman" w:eastAsia="Times New Roman" w:cs="Times New Roman"/>
          <w:i w:val="1"/>
          <w:iCs w:val="1"/>
          <w:noProof w:val="0"/>
          <w:sz w:val="24"/>
          <w:szCs w:val="24"/>
          <w:lang w:val="es-CO"/>
        </w:rPr>
        <w:t>Documentos de Trabajo Social: Revista de Trabajo y Acción Social, (59)</w:t>
      </w:r>
      <w:r w:rsidRPr="35B2FBC5" w:rsidR="71145355">
        <w:rPr>
          <w:rFonts w:ascii="Times New Roman" w:hAnsi="Times New Roman" w:eastAsia="Times New Roman" w:cs="Times New Roman"/>
          <w:noProof w:val="0"/>
          <w:sz w:val="24"/>
          <w:szCs w:val="24"/>
          <w:lang w:val="es-CO"/>
        </w:rPr>
        <w:t>, 233-258.</w:t>
      </w:r>
      <w:r w:rsidRPr="35B2FBC5" w:rsidR="71145355">
        <w:rPr>
          <w:rFonts w:ascii="Arial" w:hAnsi="Arial" w:eastAsia="Arial" w:cs="Arial"/>
          <w:noProof w:val="0"/>
          <w:sz w:val="24"/>
          <w:szCs w:val="24"/>
          <w:lang w:val="es-CO"/>
        </w:rPr>
        <w:t xml:space="preserve"> </w:t>
      </w:r>
    </w:p>
    <w:p w:rsidR="71145355" w:rsidP="35B2FBC5" w:rsidRDefault="71145355" w14:paraId="4658C9F5" w14:textId="1DEAF0AB">
      <w:pPr>
        <w:spacing w:before="0" w:beforeAutospacing="off" w:after="0" w:afterAutospacing="off" w:line="480" w:lineRule="auto"/>
        <w:ind w:left="630" w:right="0" w:hanging="630"/>
        <w:jc w:val="both"/>
      </w:pPr>
      <w:r w:rsidRPr="35B2FBC5" w:rsidR="71145355">
        <w:rPr>
          <w:rFonts w:ascii="Arial" w:hAnsi="Arial" w:eastAsia="Arial" w:cs="Arial"/>
          <w:noProof w:val="0"/>
          <w:color w:val="222222"/>
          <w:sz w:val="24"/>
          <w:szCs w:val="24"/>
          <w:lang w:val="es-CO"/>
        </w:rPr>
        <w:t xml:space="preserve">Mera González-Ballesteros, A. (2009). Justicia restaurativa y proceso penal garantías procesales: límites y posibilidades. </w:t>
      </w:r>
      <w:r w:rsidRPr="35B2FBC5" w:rsidR="71145355">
        <w:rPr>
          <w:rFonts w:ascii="Times New Roman" w:hAnsi="Times New Roman" w:eastAsia="Times New Roman" w:cs="Times New Roman"/>
          <w:i w:val="1"/>
          <w:iCs w:val="1"/>
          <w:noProof w:val="0"/>
          <w:sz w:val="24"/>
          <w:szCs w:val="24"/>
          <w:lang w:val="es-CO"/>
        </w:rPr>
        <w:t>Ius et Praxis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15</w:t>
      </w:r>
      <w:r w:rsidRPr="35B2FBC5" w:rsidR="71145355">
        <w:rPr>
          <w:rFonts w:ascii="Times New Roman" w:hAnsi="Times New Roman" w:eastAsia="Times New Roman" w:cs="Times New Roman"/>
          <w:noProof w:val="0"/>
          <w:sz w:val="24"/>
          <w:szCs w:val="24"/>
          <w:lang w:val="es-CO"/>
        </w:rPr>
        <w:t>(2), 165-195.</w:t>
      </w:r>
      <w:r w:rsidRPr="35B2FBC5" w:rsidR="71145355">
        <w:rPr>
          <w:rFonts w:ascii="Arial" w:hAnsi="Arial" w:eastAsia="Arial" w:cs="Arial"/>
          <w:noProof w:val="0"/>
          <w:color w:val="222222"/>
          <w:sz w:val="24"/>
          <w:szCs w:val="24"/>
          <w:lang w:val="es-CO"/>
        </w:rPr>
        <w:t xml:space="preserve"> </w:t>
      </w:r>
    </w:p>
    <w:p w:rsidR="71145355" w:rsidP="35B2FBC5" w:rsidRDefault="71145355" w14:paraId="02173A54" w14:textId="72E0FDB1">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Morillo Cano, J. R., Guerrón </w:t>
      </w:r>
      <w:r w:rsidRPr="35B2FBC5" w:rsidR="71145355">
        <w:rPr>
          <w:rFonts w:ascii="Times New Roman" w:hAnsi="Times New Roman" w:eastAsia="Times New Roman" w:cs="Times New Roman"/>
          <w:noProof w:val="0"/>
          <w:sz w:val="24"/>
          <w:szCs w:val="24"/>
          <w:lang w:val="es-CO"/>
        </w:rPr>
        <w:t>Enriquez</w:t>
      </w:r>
      <w:r w:rsidRPr="35B2FBC5" w:rsidR="71145355">
        <w:rPr>
          <w:rFonts w:ascii="Times New Roman" w:hAnsi="Times New Roman" w:eastAsia="Times New Roman" w:cs="Times New Roman"/>
          <w:noProof w:val="0"/>
          <w:sz w:val="24"/>
          <w:szCs w:val="24"/>
          <w:lang w:val="es-CO"/>
        </w:rPr>
        <w:t xml:space="preserve">, S. X., y Narváez Jaramillo, M. E. (2021). Influencia de la violencia intrafamiliar en el rendimiento académico de adolescentes. </w:t>
      </w:r>
      <w:r w:rsidRPr="35B2FBC5" w:rsidR="71145355">
        <w:rPr>
          <w:rFonts w:ascii="Times New Roman" w:hAnsi="Times New Roman" w:eastAsia="Times New Roman" w:cs="Times New Roman"/>
          <w:i w:val="1"/>
          <w:iCs w:val="1"/>
          <w:noProof w:val="0"/>
          <w:sz w:val="24"/>
          <w:szCs w:val="24"/>
          <w:lang w:val="es-CO"/>
        </w:rPr>
        <w:t>Revista Conrado, 17</w:t>
      </w:r>
      <w:r w:rsidRPr="35B2FBC5" w:rsidR="71145355">
        <w:rPr>
          <w:rFonts w:ascii="Times New Roman" w:hAnsi="Times New Roman" w:eastAsia="Times New Roman" w:cs="Times New Roman"/>
          <w:noProof w:val="0"/>
          <w:sz w:val="24"/>
          <w:szCs w:val="24"/>
          <w:lang w:val="es-CO"/>
        </w:rPr>
        <w:t>(81), 330-337.</w:t>
      </w:r>
      <w:r w:rsidRPr="35B2FBC5" w:rsidR="71145355">
        <w:rPr>
          <w:rFonts w:ascii="Arial" w:hAnsi="Arial" w:eastAsia="Arial" w:cs="Arial"/>
          <w:noProof w:val="0"/>
          <w:sz w:val="24"/>
          <w:szCs w:val="24"/>
          <w:lang w:val="es-CO"/>
        </w:rPr>
        <w:t xml:space="preserve"> </w:t>
      </w:r>
    </w:p>
    <w:p w:rsidR="71145355" w:rsidP="35B2FBC5" w:rsidRDefault="71145355" w14:paraId="08E9A27E" w14:textId="61C1B79B">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 xml:space="preserve">Pagani, L., Tremblay, R. E., </w:t>
      </w:r>
      <w:r w:rsidRPr="35B2FBC5" w:rsidR="71145355">
        <w:rPr>
          <w:rFonts w:ascii="Times New Roman" w:hAnsi="Times New Roman" w:eastAsia="Times New Roman" w:cs="Times New Roman"/>
          <w:noProof w:val="0"/>
          <w:sz w:val="24"/>
          <w:szCs w:val="24"/>
          <w:lang w:val="en-US"/>
        </w:rPr>
        <w:t xml:space="preserve">Nagin, D., </w:t>
      </w:r>
      <w:r w:rsidRPr="35B2FBC5" w:rsidR="71145355">
        <w:rPr>
          <w:rFonts w:ascii="Times New Roman" w:hAnsi="Times New Roman" w:eastAsia="Times New Roman" w:cs="Times New Roman"/>
          <w:noProof w:val="0"/>
          <w:sz w:val="24"/>
          <w:szCs w:val="24"/>
          <w:lang w:val="en-US"/>
        </w:rPr>
        <w:t>Zoccolillo</w:t>
      </w:r>
      <w:r w:rsidRPr="35B2FBC5" w:rsidR="71145355">
        <w:rPr>
          <w:rFonts w:ascii="Times New Roman" w:hAnsi="Times New Roman" w:eastAsia="Times New Roman" w:cs="Times New Roman"/>
          <w:noProof w:val="0"/>
          <w:sz w:val="24"/>
          <w:szCs w:val="24"/>
          <w:lang w:val="en-US"/>
        </w:rPr>
        <w:t xml:space="preserve">, M., Vitaro, F., y McDuff, P. (2004). Risk factor models for adolescent verbal and physical aggression toward mothers. </w:t>
      </w:r>
      <w:r w:rsidRPr="35B2FBC5" w:rsidR="71145355">
        <w:rPr>
          <w:rFonts w:ascii="Times New Roman" w:hAnsi="Times New Roman" w:eastAsia="Times New Roman" w:cs="Times New Roman"/>
          <w:i w:val="1"/>
          <w:iCs w:val="1"/>
          <w:noProof w:val="0"/>
          <w:sz w:val="24"/>
          <w:szCs w:val="24"/>
          <w:lang w:val="en-US"/>
        </w:rPr>
        <w:t>International Journal of Behavioral Development, 28</w:t>
      </w:r>
      <w:r w:rsidRPr="35B2FBC5" w:rsidR="71145355">
        <w:rPr>
          <w:rFonts w:ascii="Times New Roman" w:hAnsi="Times New Roman" w:eastAsia="Times New Roman" w:cs="Times New Roman"/>
          <w:noProof w:val="0"/>
          <w:sz w:val="24"/>
          <w:szCs w:val="24"/>
          <w:lang w:val="en-US"/>
        </w:rPr>
        <w:t>, 528-537.</w:t>
      </w:r>
      <w:r w:rsidRPr="35B2FBC5" w:rsidR="71145355">
        <w:rPr>
          <w:rFonts w:ascii="Arial" w:hAnsi="Arial" w:eastAsia="Arial" w:cs="Arial"/>
          <w:noProof w:val="0"/>
          <w:sz w:val="24"/>
          <w:szCs w:val="24"/>
          <w:lang w:val="en-US"/>
        </w:rPr>
        <w:t xml:space="preserve"> </w:t>
      </w:r>
    </w:p>
    <w:p w:rsidR="71145355" w:rsidP="35B2FBC5" w:rsidRDefault="71145355" w14:paraId="157D91B0" w14:textId="05156436">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Peck, A., Hutchinson, M., </w:t>
      </w:r>
      <w:r w:rsidRPr="35B2FBC5" w:rsidR="71145355">
        <w:rPr>
          <w:rFonts w:ascii="Times New Roman" w:hAnsi="Times New Roman" w:eastAsia="Times New Roman" w:cs="Times New Roman"/>
          <w:noProof w:val="0"/>
          <w:sz w:val="24"/>
          <w:szCs w:val="24"/>
          <w:lang w:val="es-CO"/>
        </w:rPr>
        <w:t xml:space="preserve">y </w:t>
      </w:r>
      <w:r w:rsidRPr="35B2FBC5" w:rsidR="71145355">
        <w:rPr>
          <w:rFonts w:ascii="Times New Roman" w:hAnsi="Times New Roman" w:eastAsia="Times New Roman" w:cs="Times New Roman"/>
          <w:noProof w:val="0"/>
          <w:sz w:val="24"/>
          <w:szCs w:val="24"/>
          <w:lang w:val="es-CO"/>
        </w:rPr>
        <w:t>Provost</w:t>
      </w:r>
      <w:r w:rsidRPr="35B2FBC5" w:rsidR="71145355">
        <w:rPr>
          <w:rFonts w:ascii="Times New Roman" w:hAnsi="Times New Roman" w:eastAsia="Times New Roman" w:cs="Times New Roman"/>
          <w:noProof w:val="0"/>
          <w:sz w:val="24"/>
          <w:szCs w:val="24"/>
          <w:lang w:val="es-CO"/>
        </w:rPr>
        <w:t xml:space="preserve">, S. (2021). Young </w:t>
      </w:r>
      <w:r w:rsidRPr="35B2FBC5" w:rsidR="71145355">
        <w:rPr>
          <w:rFonts w:ascii="Times New Roman" w:hAnsi="Times New Roman" w:eastAsia="Times New Roman" w:cs="Times New Roman"/>
          <w:noProof w:val="0"/>
          <w:sz w:val="24"/>
          <w:szCs w:val="24"/>
          <w:lang w:val="es-CO"/>
        </w:rPr>
        <w:t>people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who</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engage</w:t>
      </w:r>
      <w:r w:rsidRPr="35B2FBC5" w:rsidR="71145355">
        <w:rPr>
          <w:rFonts w:ascii="Times New Roman" w:hAnsi="Times New Roman" w:eastAsia="Times New Roman" w:cs="Times New Roman"/>
          <w:noProof w:val="0"/>
          <w:sz w:val="24"/>
          <w:szCs w:val="24"/>
          <w:lang w:val="es-CO"/>
        </w:rPr>
        <w:t xml:space="preserve"> in </w:t>
      </w:r>
      <w:r w:rsidRPr="35B2FBC5" w:rsidR="71145355">
        <w:rPr>
          <w:rFonts w:ascii="Times New Roman" w:hAnsi="Times New Roman" w:eastAsia="Times New Roman" w:cs="Times New Roman"/>
          <w:noProof w:val="0"/>
          <w:sz w:val="24"/>
          <w:szCs w:val="24"/>
          <w:lang w:val="es-CO"/>
        </w:rPr>
        <w:t>child</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to</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parent</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violence</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An</w:t>
      </w:r>
      <w:r w:rsidRPr="35B2FBC5" w:rsidR="71145355">
        <w:rPr>
          <w:rFonts w:ascii="Times New Roman" w:hAnsi="Times New Roman" w:eastAsia="Times New Roman" w:cs="Times New Roman"/>
          <w:noProof w:val="0"/>
          <w:sz w:val="24"/>
          <w:szCs w:val="24"/>
          <w:lang w:val="es-CO"/>
        </w:rPr>
        <w:t xml:space="preserve"> integrative </w:t>
      </w:r>
      <w:r w:rsidRPr="35B2FBC5" w:rsidR="71145355">
        <w:rPr>
          <w:rFonts w:ascii="Times New Roman" w:hAnsi="Times New Roman" w:eastAsia="Times New Roman" w:cs="Times New Roman"/>
          <w:noProof w:val="0"/>
          <w:sz w:val="24"/>
          <w:szCs w:val="24"/>
          <w:lang w:val="es-CO"/>
        </w:rPr>
        <w:t>review</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of</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correlates</w:t>
      </w:r>
      <w:r w:rsidRPr="35B2FBC5" w:rsidR="71145355">
        <w:rPr>
          <w:rFonts w:ascii="Times New Roman" w:hAnsi="Times New Roman" w:eastAsia="Times New Roman" w:cs="Times New Roman"/>
          <w:noProof w:val="0"/>
          <w:sz w:val="24"/>
          <w:szCs w:val="24"/>
          <w:lang w:val="es-CO"/>
        </w:rPr>
        <w:t xml:space="preserve"> and </w:t>
      </w:r>
      <w:r w:rsidRPr="35B2FBC5" w:rsidR="71145355">
        <w:rPr>
          <w:rFonts w:ascii="Times New Roman" w:hAnsi="Times New Roman" w:eastAsia="Times New Roman" w:cs="Times New Roman"/>
          <w:noProof w:val="0"/>
          <w:sz w:val="24"/>
          <w:szCs w:val="24"/>
          <w:lang w:val="es-CO"/>
        </w:rPr>
        <w:t>developmental</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pathways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Australian</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Journal</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of</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Psychology</w:t>
      </w:r>
      <w:r w:rsidRPr="35B2FBC5" w:rsidR="71145355">
        <w:rPr>
          <w:rFonts w:ascii="Times New Roman" w:hAnsi="Times New Roman" w:eastAsia="Times New Roman" w:cs="Times New Roman"/>
          <w:i w:val="1"/>
          <w:iCs w:val="1"/>
          <w:noProof w:val="0"/>
          <w:sz w:val="24"/>
          <w:szCs w:val="24"/>
          <w:lang w:val="es-CO"/>
        </w:rPr>
        <w:t>, 73</w:t>
      </w:r>
      <w:r w:rsidRPr="35B2FBC5" w:rsidR="71145355">
        <w:rPr>
          <w:rFonts w:ascii="Times New Roman" w:hAnsi="Times New Roman" w:eastAsia="Times New Roman" w:cs="Times New Roman"/>
          <w:noProof w:val="0"/>
          <w:sz w:val="24"/>
          <w:szCs w:val="24"/>
          <w:lang w:val="es-CO"/>
        </w:rPr>
        <w:t>, 405-415.</w:t>
      </w:r>
      <w:r w:rsidRPr="35B2FBC5" w:rsidR="71145355">
        <w:rPr>
          <w:rFonts w:ascii="Arial" w:hAnsi="Arial" w:eastAsia="Arial" w:cs="Arial"/>
          <w:noProof w:val="0"/>
          <w:sz w:val="24"/>
          <w:szCs w:val="24"/>
          <w:lang w:val="es-CO"/>
        </w:rPr>
        <w:t xml:space="preserve"> </w:t>
      </w:r>
    </w:p>
    <w:p w:rsidR="71145355" w:rsidP="35B2FBC5" w:rsidRDefault="71145355" w14:paraId="4463436E" w14:textId="725EA13A">
      <w:pPr>
        <w:spacing w:before="0" w:beforeAutospacing="off" w:after="0" w:afterAutospacing="off" w:line="480" w:lineRule="auto"/>
        <w:ind w:left="630" w:right="0" w:hanging="630"/>
        <w:jc w:val="both"/>
      </w:pPr>
      <w:r w:rsidRPr="35B2FBC5" w:rsidR="71145355">
        <w:rPr>
          <w:rFonts w:ascii="Arial" w:hAnsi="Arial" w:eastAsia="Arial" w:cs="Arial"/>
          <w:noProof w:val="0"/>
          <w:color w:val="000000" w:themeColor="text1" w:themeTint="FF" w:themeShade="FF"/>
          <w:sz w:val="24"/>
          <w:szCs w:val="24"/>
          <w:lang w:val="es-CO"/>
        </w:rPr>
        <w:t xml:space="preserve">Pineda Duque, J., </w:t>
      </w:r>
      <w:r w:rsidRPr="35B2FBC5" w:rsidR="71145355">
        <w:rPr>
          <w:rFonts w:ascii="Times New Roman" w:hAnsi="Times New Roman" w:eastAsia="Times New Roman" w:cs="Times New Roman"/>
          <w:noProof w:val="0"/>
          <w:sz w:val="24"/>
          <w:szCs w:val="24"/>
          <w:lang w:val="es-CO"/>
        </w:rPr>
        <w:t>y Otero Peña, L. (2004). "Género, violencia intrafamiliar e intervención pública en Colombia". Revista de Estudios Sociales, (17), 19-31</w:t>
      </w:r>
      <w:r w:rsidRPr="35B2FBC5" w:rsidR="71145355">
        <w:rPr>
          <w:rFonts w:ascii="Arial" w:hAnsi="Arial" w:eastAsia="Arial" w:cs="Arial"/>
          <w:noProof w:val="0"/>
          <w:color w:val="000000" w:themeColor="text1" w:themeTint="FF" w:themeShade="FF"/>
          <w:sz w:val="24"/>
          <w:szCs w:val="24"/>
          <w:lang w:val="es-CO"/>
        </w:rPr>
        <w:t xml:space="preserve"> </w:t>
      </w:r>
    </w:p>
    <w:p w:rsidR="71145355" w:rsidP="35B2FBC5" w:rsidRDefault="71145355" w14:paraId="20CC1C57" w14:textId="1E07AD57">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Rechea</w:t>
      </w:r>
      <w:r w:rsidRPr="35B2FBC5" w:rsidR="71145355">
        <w:rPr>
          <w:rFonts w:ascii="Times New Roman" w:hAnsi="Times New Roman" w:eastAsia="Times New Roman" w:cs="Times New Roman"/>
          <w:noProof w:val="0"/>
          <w:sz w:val="24"/>
          <w:szCs w:val="24"/>
          <w:lang w:val="es-CO"/>
        </w:rPr>
        <w:t xml:space="preserve">, C., y Cuervo, A. (2010). </w:t>
      </w:r>
      <w:r w:rsidRPr="35B2FBC5" w:rsidR="71145355">
        <w:rPr>
          <w:rFonts w:ascii="Arial" w:hAnsi="Arial" w:eastAsia="Arial" w:cs="Arial"/>
          <w:noProof w:val="0"/>
          <w:sz w:val="24"/>
          <w:szCs w:val="24"/>
          <w:lang w:val="es-CO"/>
        </w:rPr>
        <w:t>Menores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Arial" w:hAnsi="Arial" w:eastAsia="Arial" w:cs="Arial"/>
          <w:noProof w:val="0"/>
          <w:sz w:val="24"/>
          <w:szCs w:val="24"/>
          <w:lang w:val="es-CO"/>
        </w:rPr>
        <w:t xml:space="preserve">agresores en el ámbito familiar: Un estudio de casos. </w:t>
      </w:r>
      <w:r w:rsidRPr="35B2FBC5" w:rsidR="71145355">
        <w:rPr>
          <w:rFonts w:ascii="Times New Roman" w:hAnsi="Times New Roman" w:eastAsia="Times New Roman" w:cs="Times New Roman"/>
          <w:i w:val="1"/>
          <w:iCs w:val="1"/>
          <w:noProof w:val="0"/>
          <w:sz w:val="24"/>
          <w:szCs w:val="24"/>
          <w:lang w:val="es-CO"/>
        </w:rPr>
        <w:t>Revista de Derecho Penal y Criminología, 3</w:t>
      </w:r>
      <w:r w:rsidRPr="35B2FBC5" w:rsidR="71145355">
        <w:rPr>
          <w:rFonts w:ascii="Times New Roman" w:hAnsi="Times New Roman" w:eastAsia="Times New Roman" w:cs="Times New Roman"/>
          <w:noProof w:val="0"/>
          <w:sz w:val="24"/>
          <w:szCs w:val="24"/>
          <w:lang w:val="es-CO"/>
        </w:rPr>
        <w:t>, 353-375.</w:t>
      </w:r>
      <w:r w:rsidRPr="35B2FBC5" w:rsidR="71145355">
        <w:rPr>
          <w:rFonts w:ascii="Arial" w:hAnsi="Arial" w:eastAsia="Arial" w:cs="Arial"/>
          <w:noProof w:val="0"/>
          <w:sz w:val="24"/>
          <w:szCs w:val="24"/>
          <w:lang w:val="es-CO"/>
        </w:rPr>
        <w:t xml:space="preserve"> </w:t>
      </w:r>
    </w:p>
    <w:p w:rsidR="71145355" w:rsidP="35B2FBC5" w:rsidRDefault="71145355" w14:paraId="19E9722A" w14:textId="6C9C0204">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Redondo Illescas, S., Martínez Catena, A. y Andrés Pueyo, A. (2012). Intervenciones con delincuentes juveniles en el marco de la justicia: Investigación y aplicaciones. </w:t>
      </w:r>
      <w:r w:rsidRPr="35B2FBC5" w:rsidR="71145355">
        <w:rPr>
          <w:rFonts w:ascii="Times New Roman" w:hAnsi="Times New Roman" w:eastAsia="Times New Roman" w:cs="Times New Roman"/>
          <w:noProof w:val="0"/>
          <w:sz w:val="24"/>
          <w:szCs w:val="24"/>
          <w:lang w:val="es-CO"/>
        </w:rPr>
        <w:t>EduPsykhé</w:t>
      </w:r>
      <w:r w:rsidRPr="35B2FBC5" w:rsidR="71145355">
        <w:rPr>
          <w:rFonts w:ascii="Times New Roman" w:hAnsi="Times New Roman" w:eastAsia="Times New Roman" w:cs="Times New Roman"/>
          <w:noProof w:val="0"/>
          <w:sz w:val="24"/>
          <w:szCs w:val="24"/>
          <w:lang w:val="es-CO"/>
        </w:rPr>
        <w:t>: Revista de psicología y psicopedagogía, 11(2), 255-286.</w:t>
      </w:r>
      <w:r w:rsidRPr="35B2FBC5" w:rsidR="71145355">
        <w:rPr>
          <w:rFonts w:ascii="Arial" w:hAnsi="Arial" w:eastAsia="Arial" w:cs="Arial"/>
          <w:noProof w:val="0"/>
          <w:sz w:val="24"/>
          <w:szCs w:val="24"/>
          <w:lang w:val="es-CO"/>
        </w:rPr>
        <w:t xml:space="preserve"> </w:t>
      </w:r>
    </w:p>
    <w:p w:rsidR="71145355" w:rsidP="35B2FBC5" w:rsidRDefault="71145355" w14:paraId="72B34601" w14:textId="7E19B36A">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Restrepo, J. E., </w:t>
      </w:r>
      <w:r w:rsidRPr="35B2FBC5" w:rsidR="71145355">
        <w:rPr>
          <w:rFonts w:ascii="Times New Roman" w:hAnsi="Times New Roman" w:eastAsia="Times New Roman" w:cs="Times New Roman"/>
          <w:noProof w:val="0"/>
          <w:sz w:val="24"/>
          <w:szCs w:val="24"/>
          <w:lang w:val="es-CO"/>
        </w:rPr>
        <w:t xml:space="preserve">y Acosta-Tobón, S. A. (2023). Diferencias de género en la agresividad en jóvenes infractores en Medellín, Colombia. </w:t>
      </w:r>
      <w:r w:rsidRPr="35B2FBC5" w:rsidR="71145355">
        <w:rPr>
          <w:rFonts w:ascii="Times New Roman" w:hAnsi="Times New Roman" w:eastAsia="Times New Roman" w:cs="Times New Roman"/>
          <w:i w:val="1"/>
          <w:iCs w:val="1"/>
          <w:noProof w:val="0"/>
          <w:sz w:val="24"/>
          <w:szCs w:val="24"/>
          <w:lang w:val="es-CO"/>
        </w:rPr>
        <w:t>Revista Latinoamericana de Ciencias Sociales, Niñez y Juventud, 21</w:t>
      </w:r>
      <w:r w:rsidRPr="35B2FBC5" w:rsidR="71145355">
        <w:rPr>
          <w:rFonts w:ascii="Times New Roman" w:hAnsi="Times New Roman" w:eastAsia="Times New Roman" w:cs="Times New Roman"/>
          <w:noProof w:val="0"/>
          <w:sz w:val="24"/>
          <w:szCs w:val="24"/>
          <w:lang w:val="es-CO"/>
        </w:rPr>
        <w:t>(2), 344-368.</w:t>
      </w:r>
      <w:r w:rsidRPr="35B2FBC5" w:rsidR="71145355">
        <w:rPr>
          <w:rFonts w:ascii="Arial" w:hAnsi="Arial" w:eastAsia="Arial" w:cs="Arial"/>
          <w:noProof w:val="0"/>
          <w:sz w:val="24"/>
          <w:szCs w:val="24"/>
          <w:lang w:val="es-CO"/>
        </w:rPr>
        <w:t xml:space="preserve"> </w:t>
      </w:r>
    </w:p>
    <w:p w:rsidR="71145355" w:rsidP="35B2FBC5" w:rsidRDefault="71145355" w14:paraId="2A566C4E" w14:textId="3CC8963D">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Ribero, R., </w:t>
      </w:r>
      <w:r w:rsidRPr="35B2FBC5" w:rsidR="71145355">
        <w:rPr>
          <w:rFonts w:ascii="Times New Roman" w:hAnsi="Times New Roman" w:eastAsia="Times New Roman" w:cs="Times New Roman"/>
          <w:noProof w:val="0"/>
          <w:sz w:val="24"/>
          <w:szCs w:val="24"/>
          <w:lang w:val="es-CO"/>
        </w:rPr>
        <w:t>y Sánchez, F. (2004).</w:t>
      </w:r>
      <w:r w:rsidRPr="35B2FBC5" w:rsidR="71145355">
        <w:rPr>
          <w:rFonts w:ascii="Times New Roman" w:hAnsi="Times New Roman" w:eastAsia="Times New Roman" w:cs="Times New Roman"/>
          <w:i w:val="1"/>
          <w:iCs w:val="1"/>
          <w:noProof w:val="0"/>
          <w:sz w:val="24"/>
          <w:szCs w:val="24"/>
          <w:lang w:val="es-CO"/>
        </w:rPr>
        <w:t xml:space="preserve"> Determinantes, efectos y costos de la violencia intrafamiliar en Colombia</w:t>
      </w:r>
      <w:r w:rsidRPr="35B2FBC5" w:rsidR="71145355">
        <w:rPr>
          <w:rFonts w:ascii="Times New Roman" w:hAnsi="Times New Roman" w:eastAsia="Times New Roman" w:cs="Times New Roman"/>
          <w:noProof w:val="0"/>
          <w:sz w:val="24"/>
          <w:szCs w:val="24"/>
          <w:lang w:val="es-CO"/>
        </w:rPr>
        <w:t xml:space="preserve"> (No. 2331). Universidad de los Andes, Facultad de Economía, CEDE.</w:t>
      </w:r>
      <w:r w:rsidRPr="35B2FBC5" w:rsidR="71145355">
        <w:rPr>
          <w:rFonts w:ascii="Arial" w:hAnsi="Arial" w:eastAsia="Arial" w:cs="Arial"/>
          <w:noProof w:val="0"/>
          <w:sz w:val="24"/>
          <w:szCs w:val="24"/>
          <w:lang w:val="es-CO"/>
        </w:rPr>
        <w:t xml:space="preserve"> </w:t>
      </w:r>
    </w:p>
    <w:p w:rsidR="71145355" w:rsidP="35B2FBC5" w:rsidRDefault="71145355" w14:paraId="71FF60C9" w14:textId="52907BBA">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Rodríguez Cely, L. A., Padilla Villarraga, A., Rodríguez, L. S., </w:t>
      </w:r>
      <w:r w:rsidRPr="35B2FBC5" w:rsidR="71145355">
        <w:rPr>
          <w:rFonts w:ascii="Times New Roman" w:hAnsi="Times New Roman" w:eastAsia="Times New Roman" w:cs="Times New Roman"/>
          <w:noProof w:val="0"/>
          <w:sz w:val="24"/>
          <w:szCs w:val="24"/>
          <w:lang w:val="es-CO"/>
        </w:rPr>
        <w:t xml:space="preserve">y Díaz Colorado, F. (2010). Análisis de la justicia restaurativa para atender casos de violencia intrafamiliar en el Centro de Atención Integral a Víctimas de Violencia Intrafamiliar (CAVIF) de la </w:t>
      </w:r>
      <w:r w:rsidRPr="35B2FBC5" w:rsidR="71145355">
        <w:rPr>
          <w:rFonts w:ascii="Times New Roman" w:hAnsi="Times New Roman" w:eastAsia="Times New Roman" w:cs="Times New Roman"/>
          <w:noProof w:val="0"/>
          <w:sz w:val="24"/>
          <w:szCs w:val="24"/>
          <w:lang w:val="es-CO"/>
        </w:rPr>
        <w:t>Fiscalía General</w:t>
      </w:r>
      <w:r w:rsidRPr="35B2FBC5" w:rsidR="71145355">
        <w:rPr>
          <w:rFonts w:ascii="Times New Roman" w:hAnsi="Times New Roman" w:eastAsia="Times New Roman" w:cs="Times New Roman"/>
          <w:noProof w:val="0"/>
          <w:sz w:val="24"/>
          <w:szCs w:val="24"/>
          <w:lang w:val="es-CO"/>
        </w:rPr>
        <w:t xml:space="preserve"> de la Nación, Colombia. </w:t>
      </w:r>
      <w:r w:rsidRPr="35B2FBC5" w:rsidR="71145355">
        <w:rPr>
          <w:rFonts w:ascii="Times New Roman" w:hAnsi="Times New Roman" w:eastAsia="Times New Roman" w:cs="Times New Roman"/>
          <w:i w:val="1"/>
          <w:iCs w:val="1"/>
          <w:noProof w:val="0"/>
          <w:sz w:val="24"/>
          <w:szCs w:val="24"/>
          <w:lang w:val="es-CO"/>
        </w:rPr>
        <w:t>Diversitas: Perspectivas en Psicología, 6</w:t>
      </w:r>
      <w:r w:rsidRPr="35B2FBC5" w:rsidR="71145355">
        <w:rPr>
          <w:rFonts w:ascii="Times New Roman" w:hAnsi="Times New Roman" w:eastAsia="Times New Roman" w:cs="Times New Roman"/>
          <w:noProof w:val="0"/>
          <w:sz w:val="24"/>
          <w:szCs w:val="24"/>
          <w:lang w:val="es-CO"/>
        </w:rPr>
        <w:t xml:space="preserve">(2), 355-373. </w:t>
      </w:r>
      <w:hyperlink r:id="R7eed150b277d47cb">
        <w:r w:rsidRPr="35B2FBC5" w:rsidR="71145355">
          <w:rPr>
            <w:rStyle w:val="Hipervnculo"/>
            <w:rFonts w:ascii="Arial" w:hAnsi="Arial" w:eastAsia="Arial" w:cs="Arial"/>
            <w:strike w:val="0"/>
            <w:dstrike w:val="0"/>
            <w:noProof w:val="0"/>
            <w:color w:val="0563C1"/>
            <w:sz w:val="24"/>
            <w:szCs w:val="24"/>
            <w:u w:val="single"/>
            <w:lang w:val="es-CO"/>
          </w:rPr>
          <w:t>https://www.redalyc.org/articulo.oa?id=67915140011</w:t>
        </w:r>
      </w:hyperlink>
      <w:r w:rsidRPr="35B2FBC5" w:rsidR="71145355">
        <w:rPr>
          <w:rFonts w:ascii="Arial" w:hAnsi="Arial" w:eastAsia="Arial" w:cs="Arial"/>
          <w:noProof w:val="0"/>
          <w:sz w:val="24"/>
          <w:szCs w:val="24"/>
          <w:lang w:val="es-CO"/>
        </w:rPr>
        <w:t xml:space="preserve">. </w:t>
      </w:r>
    </w:p>
    <w:p w:rsidR="71145355" w:rsidP="35B2FBC5" w:rsidRDefault="71145355" w14:paraId="1958945C" w14:textId="7EEB0272">
      <w:pPr>
        <w:spacing w:before="0" w:beforeAutospacing="off" w:after="0" w:afterAutospacing="off" w:line="480" w:lineRule="auto"/>
        <w:ind w:left="630" w:right="0" w:hanging="630"/>
        <w:jc w:val="both"/>
      </w:pPr>
      <w:r w:rsidRPr="35B2FBC5" w:rsidR="71145355">
        <w:rPr>
          <w:rFonts w:ascii="Arial" w:hAnsi="Arial" w:eastAsia="Arial" w:cs="Arial"/>
          <w:noProof w:val="0"/>
          <w:color w:val="222222"/>
          <w:sz w:val="24"/>
          <w:szCs w:val="24"/>
          <w:lang w:val="es-CO"/>
        </w:rPr>
        <w:t xml:space="preserve">Rodríguez, Y. P. J., Becerra, O. M. R., </w:t>
      </w:r>
      <w:r w:rsidRPr="35B2FBC5" w:rsidR="71145355">
        <w:rPr>
          <w:rFonts w:ascii="Times New Roman" w:hAnsi="Times New Roman" w:eastAsia="Times New Roman" w:cs="Times New Roman"/>
          <w:noProof w:val="0"/>
          <w:sz w:val="24"/>
          <w:szCs w:val="24"/>
          <w:lang w:val="es-CO"/>
        </w:rPr>
        <w:t xml:space="preserve">y Mattos, J. L. (2024). Programas de intervención en adolescentes que han cometido conductas delictivas: una revisión sistemática de la literatura. </w:t>
      </w:r>
      <w:r w:rsidRPr="35B2FBC5" w:rsidR="71145355">
        <w:rPr>
          <w:rFonts w:ascii="Times New Roman" w:hAnsi="Times New Roman" w:eastAsia="Times New Roman" w:cs="Times New Roman"/>
          <w:i w:val="1"/>
          <w:iCs w:val="1"/>
          <w:noProof w:val="0"/>
          <w:sz w:val="24"/>
          <w:szCs w:val="24"/>
          <w:lang w:val="es-CO"/>
        </w:rPr>
        <w:t>Iberoamerican</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Journal</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of</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Health</w:t>
      </w:r>
      <w:r w:rsidRPr="35B2FBC5" w:rsidR="71145355">
        <w:rPr>
          <w:rFonts w:ascii="Times New Roman" w:hAnsi="Times New Roman" w:eastAsia="Times New Roman" w:cs="Times New Roman"/>
          <w:i w:val="1"/>
          <w:iCs w:val="1"/>
          <w:noProof w:val="0"/>
          <w:sz w:val="24"/>
          <w:szCs w:val="24"/>
          <w:lang w:val="es-CO"/>
        </w:rPr>
        <w:t xml:space="preserve"> and Social </w:t>
      </w:r>
      <w:r w:rsidRPr="35B2FBC5" w:rsidR="71145355">
        <w:rPr>
          <w:rFonts w:ascii="Times New Roman" w:hAnsi="Times New Roman" w:eastAsia="Times New Roman" w:cs="Times New Roman"/>
          <w:i w:val="1"/>
          <w:iCs w:val="1"/>
          <w:noProof w:val="0"/>
          <w:sz w:val="24"/>
          <w:szCs w:val="24"/>
          <w:lang w:val="es-CO"/>
        </w:rPr>
        <w:t>Research</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2</w:t>
      </w:r>
      <w:r w:rsidRPr="35B2FBC5" w:rsidR="71145355">
        <w:rPr>
          <w:rFonts w:ascii="Times New Roman" w:hAnsi="Times New Roman" w:eastAsia="Times New Roman" w:cs="Times New Roman"/>
          <w:noProof w:val="0"/>
          <w:sz w:val="24"/>
          <w:szCs w:val="24"/>
          <w:lang w:val="es-CO"/>
        </w:rPr>
        <w:t>(1), 4-16.</w:t>
      </w:r>
      <w:r w:rsidRPr="35B2FBC5" w:rsidR="71145355">
        <w:rPr>
          <w:rFonts w:ascii="Arial" w:hAnsi="Arial" w:eastAsia="Arial" w:cs="Arial"/>
          <w:noProof w:val="0"/>
          <w:color w:val="222222"/>
          <w:sz w:val="24"/>
          <w:szCs w:val="24"/>
          <w:lang w:val="es-CO"/>
        </w:rPr>
        <w:t xml:space="preserve"> </w:t>
      </w:r>
    </w:p>
    <w:p w:rsidR="71145355" w:rsidP="35B2FBC5" w:rsidRDefault="71145355" w14:paraId="7C0EA5DC" w14:textId="770AAD45">
      <w:pPr>
        <w:spacing w:before="0" w:beforeAutospacing="off" w:after="0" w:afterAutospacing="off" w:line="480" w:lineRule="auto"/>
        <w:ind w:left="705" w:right="0" w:hanging="705"/>
        <w:jc w:val="both"/>
      </w:pPr>
      <w:r w:rsidRPr="35B2FBC5" w:rsidR="71145355">
        <w:rPr>
          <w:rFonts w:ascii="Arial" w:hAnsi="Arial" w:eastAsia="Arial" w:cs="Arial"/>
          <w:noProof w:val="0"/>
          <w:color w:val="000000" w:themeColor="text1" w:themeTint="FF" w:themeShade="FF"/>
          <w:sz w:val="24"/>
          <w:szCs w:val="24"/>
          <w:lang w:val="es-CO"/>
        </w:rPr>
        <w:t xml:space="preserve">Ruiz-Pérez, I., </w:t>
      </w:r>
      <w:r w:rsidRPr="35B2FBC5" w:rsidR="71145355">
        <w:rPr>
          <w:rFonts w:ascii="Times New Roman" w:hAnsi="Times New Roman" w:eastAsia="Times New Roman" w:cs="Times New Roman"/>
          <w:noProof w:val="0"/>
          <w:sz w:val="24"/>
          <w:szCs w:val="24"/>
          <w:lang w:val="es-CO"/>
        </w:rPr>
        <w:t>y Pastor-Moreno, G. (2021). "Medidas de contención de la violencia de género durante la pandemia de COVID-19". Gaceta Sanitaria, 35(4), 389-394.</w:t>
      </w:r>
      <w:r w:rsidRPr="35B2FBC5" w:rsidR="71145355">
        <w:rPr>
          <w:rFonts w:ascii="Arial" w:hAnsi="Arial" w:eastAsia="Arial" w:cs="Arial"/>
          <w:noProof w:val="0"/>
          <w:color w:val="000000" w:themeColor="text1" w:themeTint="FF" w:themeShade="FF"/>
          <w:sz w:val="24"/>
          <w:szCs w:val="24"/>
          <w:lang w:val="es-CO"/>
        </w:rPr>
        <w:t xml:space="preserve"> </w:t>
      </w:r>
    </w:p>
    <w:p w:rsidR="71145355" w:rsidP="35B2FBC5" w:rsidRDefault="71145355" w14:paraId="72B90AA6" w14:textId="6F825203">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Taylor, E. K.</w:t>
      </w:r>
      <w:r w:rsidRPr="35B2FBC5" w:rsidR="71145355">
        <w:rPr>
          <w:rFonts w:ascii="Times New Roman" w:hAnsi="Times New Roman" w:eastAsia="Times New Roman" w:cs="Times New Roman"/>
          <w:noProof w:val="0"/>
          <w:sz w:val="24"/>
          <w:szCs w:val="24"/>
          <w:lang w:val="en-US"/>
        </w:rPr>
        <w:t>, y</w:t>
      </w:r>
      <w:r w:rsidRPr="35B2FBC5" w:rsidR="71145355">
        <w:rPr>
          <w:rFonts w:ascii="Times New Roman" w:hAnsi="Times New Roman" w:eastAsia="Times New Roman" w:cs="Times New Roman"/>
          <w:noProof w:val="0"/>
          <w:sz w:val="24"/>
          <w:szCs w:val="24"/>
          <w:lang w:val="en-US"/>
        </w:rPr>
        <w:t xml:space="preserve"> </w:t>
      </w:r>
      <w:r w:rsidRPr="35B2FBC5" w:rsidR="71145355">
        <w:rPr>
          <w:rFonts w:ascii="Times New Roman" w:hAnsi="Times New Roman" w:eastAsia="Times New Roman" w:cs="Times New Roman"/>
          <w:noProof w:val="0"/>
          <w:sz w:val="24"/>
          <w:szCs w:val="24"/>
          <w:lang w:val="en-US"/>
        </w:rPr>
        <w:t>Borduin</w:t>
      </w:r>
      <w:r w:rsidRPr="35B2FBC5" w:rsidR="71145355">
        <w:rPr>
          <w:rFonts w:ascii="Times New Roman" w:hAnsi="Times New Roman" w:eastAsia="Times New Roman" w:cs="Times New Roman"/>
          <w:noProof w:val="0"/>
          <w:sz w:val="24"/>
          <w:szCs w:val="24"/>
          <w:lang w:val="en-US"/>
        </w:rPr>
        <w:t xml:space="preserve">, C. M. (2014). The family context of relational aggression in "difficult to treat" female juvenile offenders. Journal of Marital and Family Therapy, 40(3), 357-366. </w:t>
      </w:r>
      <w:hyperlink r:id="R2f98fbe6d1d54c8f">
        <w:r w:rsidRPr="35B2FBC5" w:rsidR="71145355">
          <w:rPr>
            <w:rStyle w:val="Hipervnculo"/>
            <w:rFonts w:ascii="Arial" w:hAnsi="Arial" w:eastAsia="Arial" w:cs="Arial"/>
            <w:strike w:val="0"/>
            <w:dstrike w:val="0"/>
            <w:noProof w:val="0"/>
            <w:color w:val="0563C1"/>
            <w:sz w:val="24"/>
            <w:szCs w:val="24"/>
            <w:u w:val="single"/>
            <w:lang w:val="en-US"/>
          </w:rPr>
          <w:t>https://doi.org/10.1111/jmft.12038</w:t>
        </w:r>
      </w:hyperlink>
      <w:r w:rsidRPr="35B2FBC5" w:rsidR="71145355">
        <w:rPr>
          <w:rFonts w:ascii="Arial" w:hAnsi="Arial" w:eastAsia="Arial" w:cs="Arial"/>
          <w:noProof w:val="0"/>
          <w:sz w:val="24"/>
          <w:szCs w:val="24"/>
          <w:lang w:val="en-US"/>
        </w:rPr>
        <w:t xml:space="preserve">  </w:t>
      </w:r>
    </w:p>
    <w:p w:rsidR="71145355" w:rsidP="35B2FBC5" w:rsidRDefault="71145355" w14:paraId="620205BB" w14:textId="1D671DCC">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 xml:space="preserve">Van Ness, D. W., </w:t>
      </w:r>
      <w:r w:rsidRPr="35B2FBC5" w:rsidR="71145355">
        <w:rPr>
          <w:rFonts w:ascii="Times New Roman" w:hAnsi="Times New Roman" w:eastAsia="Times New Roman" w:cs="Times New Roman"/>
          <w:noProof w:val="0"/>
          <w:sz w:val="24"/>
          <w:szCs w:val="24"/>
          <w:lang w:val="es-CO"/>
        </w:rPr>
        <w:t>Strong</w:t>
      </w:r>
      <w:r w:rsidRPr="35B2FBC5" w:rsidR="71145355">
        <w:rPr>
          <w:rFonts w:ascii="Times New Roman" w:hAnsi="Times New Roman" w:eastAsia="Times New Roman" w:cs="Times New Roman"/>
          <w:noProof w:val="0"/>
          <w:sz w:val="24"/>
          <w:szCs w:val="24"/>
          <w:lang w:val="es-CO"/>
        </w:rPr>
        <w:t xml:space="preserve">, K. H., Derby, J., y Parker, L. L. (2022). </w:t>
      </w:r>
      <w:r w:rsidRPr="35B2FBC5" w:rsidR="71145355">
        <w:rPr>
          <w:rFonts w:ascii="Times New Roman" w:hAnsi="Times New Roman" w:eastAsia="Times New Roman" w:cs="Times New Roman"/>
          <w:i w:val="1"/>
          <w:iCs w:val="1"/>
          <w:noProof w:val="0"/>
          <w:sz w:val="24"/>
          <w:szCs w:val="24"/>
          <w:lang w:val="es-CO"/>
        </w:rPr>
        <w:t>Restoring</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justice</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An</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introduction</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to</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restorative</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i w:val="1"/>
          <w:iCs w:val="1"/>
          <w:noProof w:val="0"/>
          <w:sz w:val="24"/>
          <w:szCs w:val="24"/>
          <w:lang w:val="es-CO"/>
        </w:rPr>
        <w:t>justice</w:t>
      </w:r>
      <w:r w:rsidRPr="35B2FBC5" w:rsidR="71145355">
        <w:rPr>
          <w:rFonts w:ascii="Times New Roman" w:hAnsi="Times New Roman" w:eastAsia="Times New Roman" w:cs="Times New Roman"/>
          <w:i w:val="1"/>
          <w:iCs w:val="1"/>
          <w:noProof w:val="0"/>
          <w:sz w:val="24"/>
          <w:szCs w:val="24"/>
          <w:lang w:val="es-CO"/>
        </w:rPr>
        <w:t xml:space="preserve"> </w:t>
      </w:r>
      <w:r w:rsidRPr="35B2FBC5" w:rsidR="71145355">
        <w:rPr>
          <w:rFonts w:ascii="Times New Roman" w:hAnsi="Times New Roman" w:eastAsia="Times New Roman" w:cs="Times New Roman"/>
          <w:noProof w:val="0"/>
          <w:sz w:val="24"/>
          <w:szCs w:val="24"/>
          <w:lang w:val="es-CO"/>
        </w:rPr>
        <w:t xml:space="preserve">(6th ed.). Routledge. </w:t>
      </w:r>
      <w:hyperlink r:id="R28a6376df8b64f82">
        <w:r w:rsidRPr="35B2FBC5" w:rsidR="71145355">
          <w:rPr>
            <w:rStyle w:val="Hipervnculo"/>
            <w:rFonts w:ascii="Arial" w:hAnsi="Arial" w:eastAsia="Arial" w:cs="Arial"/>
            <w:strike w:val="0"/>
            <w:dstrike w:val="0"/>
            <w:noProof w:val="0"/>
            <w:color w:val="0563C1"/>
            <w:sz w:val="24"/>
            <w:szCs w:val="24"/>
            <w:u w:val="single"/>
            <w:lang w:val="es-CO"/>
          </w:rPr>
          <w:t>https://doi.org/10.4324/9781003159773</w:t>
        </w:r>
      </w:hyperlink>
      <w:r w:rsidRPr="35B2FBC5" w:rsidR="71145355">
        <w:rPr>
          <w:rFonts w:ascii="Arial" w:hAnsi="Arial" w:eastAsia="Arial" w:cs="Arial"/>
          <w:noProof w:val="0"/>
          <w:sz w:val="24"/>
          <w:szCs w:val="24"/>
          <w:lang w:val="es-CO"/>
        </w:rPr>
        <w:t xml:space="preserve"> </w:t>
      </w:r>
    </w:p>
    <w:p w:rsidR="71145355" w:rsidP="35B2FBC5" w:rsidRDefault="71145355" w14:paraId="74DAA673" w14:textId="5CEC142D">
      <w:pPr>
        <w:spacing w:before="0" w:beforeAutospacing="off" w:after="0" w:afterAutospacing="off" w:line="480" w:lineRule="auto"/>
        <w:ind w:left="705" w:right="0" w:hanging="705"/>
        <w:jc w:val="both"/>
      </w:pPr>
      <w:r w:rsidRPr="35B2FBC5" w:rsidR="71145355">
        <w:rPr>
          <w:rFonts w:ascii="Arial" w:hAnsi="Arial" w:eastAsia="Arial" w:cs="Arial"/>
          <w:noProof w:val="0"/>
          <w:color w:val="000000" w:themeColor="text1" w:themeTint="FF" w:themeShade="FF"/>
          <w:sz w:val="24"/>
          <w:szCs w:val="24"/>
          <w:lang w:val="es-CO"/>
        </w:rPr>
        <w:t>Vara-</w:t>
      </w:r>
      <w:r w:rsidRPr="35B2FBC5" w:rsidR="71145355">
        <w:rPr>
          <w:rFonts w:ascii="Times New Roman" w:hAnsi="Times New Roman" w:eastAsia="Times New Roman" w:cs="Times New Roman"/>
          <w:noProof w:val="0"/>
          <w:sz w:val="24"/>
          <w:szCs w:val="24"/>
          <w:lang w:val="es-CO"/>
        </w:rPr>
        <w:t>Horna</w:t>
      </w:r>
      <w:r w:rsidRPr="35B2FBC5" w:rsidR="71145355">
        <w:rPr>
          <w:rFonts w:ascii="Times New Roman" w:hAnsi="Times New Roman" w:eastAsia="Times New Roman" w:cs="Times New Roman"/>
          <w:noProof w:val="0"/>
          <w:sz w:val="24"/>
          <w:szCs w:val="24"/>
          <w:lang w:val="es-CO"/>
        </w:rPr>
        <w:t xml:space="preserve">, A. (2019). "Los costos empresariales de la violencia contra las mujeres en el Perú". Universidad de San Martín de Porres y </w:t>
      </w:r>
      <w:r w:rsidRPr="35B2FBC5" w:rsidR="71145355">
        <w:rPr>
          <w:rFonts w:ascii="Times New Roman" w:hAnsi="Times New Roman" w:eastAsia="Times New Roman" w:cs="Times New Roman"/>
          <w:noProof w:val="0"/>
          <w:sz w:val="24"/>
          <w:szCs w:val="24"/>
          <w:lang w:val="es-CO"/>
        </w:rPr>
        <w:t>ComVoMujer</w:t>
      </w:r>
      <w:r w:rsidRPr="35B2FBC5" w:rsidR="71145355">
        <w:rPr>
          <w:rFonts w:ascii="Times New Roman" w:hAnsi="Times New Roman" w:eastAsia="Times New Roman" w:cs="Times New Roman"/>
          <w:noProof w:val="0"/>
          <w:sz w:val="24"/>
          <w:szCs w:val="24"/>
          <w:lang w:val="es-CO"/>
        </w:rPr>
        <w:t>/GIZ.</w:t>
      </w:r>
      <w:r w:rsidRPr="35B2FBC5" w:rsidR="71145355">
        <w:rPr>
          <w:rFonts w:ascii="Arial" w:hAnsi="Arial" w:eastAsia="Arial" w:cs="Arial"/>
          <w:noProof w:val="0"/>
          <w:color w:val="000000" w:themeColor="text1" w:themeTint="FF" w:themeShade="FF"/>
          <w:sz w:val="24"/>
          <w:szCs w:val="24"/>
          <w:lang w:val="es-CO"/>
        </w:rPr>
        <w:t xml:space="preserve"> </w:t>
      </w:r>
    </w:p>
    <w:p w:rsidR="71145355" w:rsidP="35B2FBC5" w:rsidRDefault="71145355" w14:paraId="65DCE217" w14:textId="1D99187F">
      <w:pPr>
        <w:spacing w:before="0" w:beforeAutospacing="off" w:after="0" w:afterAutospacing="off" w:line="480" w:lineRule="auto"/>
        <w:ind w:left="630" w:right="0" w:hanging="630"/>
        <w:jc w:val="both"/>
      </w:pPr>
      <w:r w:rsidRPr="35B2FBC5" w:rsidR="4038E1A5">
        <w:rPr>
          <w:rFonts w:ascii="Arial" w:hAnsi="Arial" w:eastAsia="Arial" w:cs="Arial"/>
          <w:noProof w:val="0"/>
          <w:sz w:val="24"/>
          <w:szCs w:val="24"/>
          <w:lang w:val="es-CO"/>
        </w:rPr>
        <w:t xml:space="preserve">Varela, T. V., </w:t>
      </w:r>
      <w:r w:rsidRPr="35B2FBC5" w:rsidR="4038E1A5">
        <w:rPr>
          <w:rFonts w:ascii="Times New Roman" w:hAnsi="Times New Roman" w:eastAsia="Times New Roman" w:cs="Times New Roman"/>
          <w:noProof w:val="0"/>
          <w:sz w:val="24"/>
          <w:szCs w:val="24"/>
          <w:lang w:val="es-CO"/>
        </w:rPr>
        <w:t xml:space="preserve">y Sutton, L. H. (2021). La codificación y categorización en la teoría fundamentada, un método para el análisis de los datos cualitativos. </w:t>
      </w:r>
      <w:r w:rsidRPr="35B2FBC5" w:rsidR="4038E1A5">
        <w:rPr>
          <w:rFonts w:ascii="Times New Roman" w:hAnsi="Times New Roman" w:eastAsia="Times New Roman" w:cs="Times New Roman"/>
          <w:i w:val="1"/>
          <w:iCs w:val="1"/>
          <w:noProof w:val="0"/>
          <w:sz w:val="24"/>
          <w:szCs w:val="24"/>
          <w:lang w:val="es-CO"/>
        </w:rPr>
        <w:t>Investigación en educación médica, 10</w:t>
      </w:r>
      <w:r w:rsidRPr="35B2FBC5" w:rsidR="4038E1A5">
        <w:rPr>
          <w:rFonts w:ascii="Times New Roman" w:hAnsi="Times New Roman" w:eastAsia="Times New Roman" w:cs="Times New Roman"/>
          <w:noProof w:val="0"/>
          <w:sz w:val="24"/>
          <w:szCs w:val="24"/>
          <w:lang w:val="es-CO"/>
        </w:rPr>
        <w:t>(40), 97-104.</w:t>
      </w:r>
      <w:r w:rsidRPr="35B2FBC5" w:rsidR="4038E1A5">
        <w:rPr>
          <w:rFonts w:ascii="Arial" w:hAnsi="Arial" w:eastAsia="Arial" w:cs="Arial"/>
          <w:noProof w:val="0"/>
          <w:sz w:val="24"/>
          <w:szCs w:val="24"/>
          <w:lang w:val="es-CO"/>
        </w:rPr>
        <w:t xml:space="preserve"> </w:t>
      </w:r>
    </w:p>
    <w:p w:rsidR="71145355" w:rsidP="35B2FBC5" w:rsidRDefault="71145355" w14:paraId="11273F4B" w14:textId="4C32196E">
      <w:pPr>
        <w:spacing w:before="0" w:beforeAutospacing="off" w:after="0" w:afterAutospacing="off" w:line="480" w:lineRule="auto"/>
        <w:ind w:left="630" w:right="0" w:hanging="630"/>
        <w:jc w:val="both"/>
        <w:rPr>
          <w:rFonts w:ascii="Arial" w:hAnsi="Arial" w:eastAsia="Arial" w:cs="Arial"/>
          <w:noProof w:val="0"/>
          <w:sz w:val="24"/>
          <w:szCs w:val="24"/>
          <w:lang w:val="en-US"/>
        </w:rPr>
      </w:pPr>
      <w:r w:rsidRPr="665314E2" w:rsidR="4038E1A5">
        <w:rPr>
          <w:rFonts w:ascii="Arial" w:hAnsi="Arial" w:eastAsia="Arial" w:cs="Arial"/>
          <w:b w:val="0"/>
          <w:bCs w:val="0"/>
          <w:noProof w:val="0"/>
          <w:sz w:val="24"/>
          <w:szCs w:val="24"/>
          <w:lang w:val="en-US"/>
        </w:rPr>
        <w:t>Venables</w:t>
      </w:r>
      <w:r w:rsidRPr="665314E2" w:rsidR="4038E1A5">
        <w:rPr>
          <w:rFonts w:ascii="Arial" w:hAnsi="Arial" w:eastAsia="Arial" w:cs="Arial"/>
          <w:b w:val="0"/>
          <w:bCs w:val="0"/>
          <w:noProof w:val="0"/>
          <w:sz w:val="24"/>
          <w:szCs w:val="24"/>
          <w:lang w:val="en-US"/>
        </w:rPr>
        <w:t xml:space="preserve">, J., Young, A., O’Leary, P., &amp; </w:t>
      </w:r>
      <w:r w:rsidRPr="665314E2" w:rsidR="4038E1A5">
        <w:rPr>
          <w:rFonts w:ascii="Arial" w:hAnsi="Arial" w:eastAsia="Arial" w:cs="Arial"/>
          <w:b w:val="0"/>
          <w:bCs w:val="0"/>
          <w:noProof w:val="0"/>
          <w:sz w:val="24"/>
          <w:szCs w:val="24"/>
          <w:lang w:val="en-US"/>
        </w:rPr>
        <w:t>Dragiewicz</w:t>
      </w:r>
      <w:r w:rsidRPr="665314E2" w:rsidR="4038E1A5">
        <w:rPr>
          <w:rFonts w:ascii="Arial" w:hAnsi="Arial" w:eastAsia="Arial" w:cs="Arial"/>
          <w:b w:val="0"/>
          <w:bCs w:val="0"/>
          <w:noProof w:val="0"/>
          <w:sz w:val="24"/>
          <w:szCs w:val="24"/>
          <w:lang w:val="en-US"/>
        </w:rPr>
        <w:t xml:space="preserve">, M. (2025). Son-to-mother violence in the aftermath of domestic violence: Experiences of sons attending group violence prevention programs. </w:t>
      </w:r>
      <w:r w:rsidRPr="665314E2" w:rsidR="4038E1A5">
        <w:rPr>
          <w:rFonts w:ascii="Arial" w:hAnsi="Arial" w:eastAsia="Arial" w:cs="Arial"/>
          <w:i w:val="1"/>
          <w:iCs w:val="1"/>
          <w:noProof w:val="0"/>
          <w:sz w:val="24"/>
          <w:szCs w:val="24"/>
          <w:lang w:val="en-US"/>
        </w:rPr>
        <w:t>Children and Youth Services Review, 169</w:t>
      </w:r>
      <w:r w:rsidRPr="665314E2" w:rsidR="4038E1A5">
        <w:rPr>
          <w:rFonts w:ascii="Arial" w:hAnsi="Arial" w:eastAsia="Arial" w:cs="Arial"/>
          <w:noProof w:val="0"/>
          <w:sz w:val="24"/>
          <w:szCs w:val="24"/>
          <w:lang w:val="en-US"/>
        </w:rPr>
        <w:t xml:space="preserve">, 108063. </w:t>
      </w:r>
      <w:hyperlink r:id="R6c252c57babd4026">
        <w:r w:rsidRPr="665314E2" w:rsidR="4038E1A5">
          <w:rPr>
            <w:rStyle w:val="Hipervnculo"/>
            <w:rFonts w:ascii="Arial" w:hAnsi="Arial" w:eastAsia="Arial" w:cs="Arial"/>
            <w:noProof w:val="0"/>
            <w:sz w:val="24"/>
            <w:szCs w:val="24"/>
            <w:lang w:val="en-US"/>
          </w:rPr>
          <w:t>https://doi.org/10.1016/j.childyouth.2024.108063</w:t>
        </w:r>
      </w:hyperlink>
      <w:r w:rsidRPr="665314E2" w:rsidR="183674C7">
        <w:rPr>
          <w:rFonts w:ascii="Arial" w:hAnsi="Arial" w:eastAsia="Arial" w:cs="Arial"/>
          <w:noProof w:val="0"/>
          <w:sz w:val="24"/>
          <w:szCs w:val="24"/>
          <w:lang w:val="en-US"/>
        </w:rPr>
        <w:t xml:space="preserve"> </w:t>
      </w:r>
      <w:r w:rsidRPr="665314E2" w:rsidR="4038E1A5">
        <w:rPr>
          <w:rFonts w:ascii="Arial" w:hAnsi="Arial" w:eastAsia="Arial" w:cs="Arial"/>
          <w:noProof w:val="0"/>
          <w:sz w:val="24"/>
          <w:szCs w:val="24"/>
          <w:lang w:val="en-US"/>
        </w:rPr>
        <w:t xml:space="preserve"> </w:t>
      </w:r>
      <w:r w:rsidRPr="665314E2" w:rsidR="18F5B69A">
        <w:rPr>
          <w:rFonts w:ascii="Arial" w:hAnsi="Arial" w:eastAsia="Arial" w:cs="Arial"/>
          <w:noProof w:val="0"/>
          <w:sz w:val="24"/>
          <w:szCs w:val="24"/>
          <w:lang w:val="en-US"/>
        </w:rPr>
        <w:t xml:space="preserve"> </w:t>
      </w:r>
    </w:p>
    <w:p w:rsidR="71145355" w:rsidP="35B2FBC5" w:rsidRDefault="71145355" w14:paraId="3EFDB87F" w14:textId="2582FF16">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n-US"/>
        </w:rPr>
        <w:t xml:space="preserve">Vermeulen, K. M., Jansen, D. E. M. C., </w:t>
      </w:r>
      <w:r w:rsidRPr="35B2FBC5" w:rsidR="71145355">
        <w:rPr>
          <w:rFonts w:ascii="Times New Roman" w:hAnsi="Times New Roman" w:eastAsia="Times New Roman" w:cs="Times New Roman"/>
          <w:noProof w:val="0"/>
          <w:sz w:val="24"/>
          <w:szCs w:val="24"/>
          <w:lang w:val="en-US"/>
        </w:rPr>
        <w:t>Knorth</w:t>
      </w:r>
      <w:r w:rsidRPr="35B2FBC5" w:rsidR="71145355">
        <w:rPr>
          <w:rFonts w:ascii="Times New Roman" w:hAnsi="Times New Roman" w:eastAsia="Times New Roman" w:cs="Times New Roman"/>
          <w:noProof w:val="0"/>
          <w:sz w:val="24"/>
          <w:szCs w:val="24"/>
          <w:lang w:val="en-US"/>
        </w:rPr>
        <w:t xml:space="preserve">, E. J., Buskens, E., &amp; </w:t>
      </w:r>
      <w:r w:rsidRPr="35B2FBC5" w:rsidR="71145355">
        <w:rPr>
          <w:rFonts w:ascii="Times New Roman" w:hAnsi="Times New Roman" w:eastAsia="Times New Roman" w:cs="Times New Roman"/>
          <w:noProof w:val="0"/>
          <w:sz w:val="24"/>
          <w:szCs w:val="24"/>
          <w:lang w:val="en-US"/>
        </w:rPr>
        <w:t>Reijneveld</w:t>
      </w:r>
      <w:r w:rsidRPr="35B2FBC5" w:rsidR="71145355">
        <w:rPr>
          <w:rFonts w:ascii="Times New Roman" w:hAnsi="Times New Roman" w:eastAsia="Times New Roman" w:cs="Times New Roman"/>
          <w:noProof w:val="0"/>
          <w:sz w:val="24"/>
          <w:szCs w:val="24"/>
          <w:lang w:val="en-US"/>
        </w:rPr>
        <w:t xml:space="preserve">, S. A. (2017). Cost-effectiveness of multisystemic therapy versus usual treatment for young people with antisocial problems. Criminal </w:t>
      </w:r>
      <w:r w:rsidRPr="35B2FBC5" w:rsidR="71145355">
        <w:rPr>
          <w:rFonts w:ascii="Times New Roman" w:hAnsi="Times New Roman" w:eastAsia="Times New Roman" w:cs="Times New Roman"/>
          <w:noProof w:val="0"/>
          <w:sz w:val="24"/>
          <w:szCs w:val="24"/>
          <w:lang w:val="en-US"/>
        </w:rPr>
        <w:t>Behaviour</w:t>
      </w:r>
      <w:r w:rsidRPr="35B2FBC5" w:rsidR="71145355">
        <w:rPr>
          <w:rFonts w:ascii="Times New Roman" w:hAnsi="Times New Roman" w:eastAsia="Times New Roman" w:cs="Times New Roman"/>
          <w:noProof w:val="0"/>
          <w:sz w:val="24"/>
          <w:szCs w:val="24"/>
          <w:lang w:val="en-US"/>
        </w:rPr>
        <w:t xml:space="preserve"> and Mental Health, 27(1), 89–102. Scopus. </w:t>
      </w:r>
      <w:hyperlink r:id="R9e9176f6a2744f2f">
        <w:r w:rsidRPr="35B2FBC5" w:rsidR="71145355">
          <w:rPr>
            <w:rStyle w:val="Hipervnculo"/>
            <w:rFonts w:ascii="Arial" w:hAnsi="Arial" w:eastAsia="Arial" w:cs="Arial"/>
            <w:strike w:val="0"/>
            <w:dstrike w:val="0"/>
            <w:noProof w:val="0"/>
            <w:color w:val="0563C1"/>
            <w:sz w:val="24"/>
            <w:szCs w:val="24"/>
            <w:u w:val="single"/>
            <w:lang w:val="en-US"/>
          </w:rPr>
          <w:t>https://doi.org/10.1002/cbm.1988</w:t>
        </w:r>
      </w:hyperlink>
      <w:r w:rsidRPr="35B2FBC5" w:rsidR="71145355">
        <w:rPr>
          <w:rFonts w:ascii="Arial" w:hAnsi="Arial" w:eastAsia="Arial" w:cs="Arial"/>
          <w:noProof w:val="0"/>
          <w:sz w:val="24"/>
          <w:szCs w:val="24"/>
          <w:lang w:val="en-US"/>
        </w:rPr>
        <w:t xml:space="preserve">  </w:t>
      </w:r>
    </w:p>
    <w:p w:rsidR="71145355" w:rsidP="35B2FBC5" w:rsidRDefault="71145355" w14:paraId="2B7F4ED8" w14:textId="25C8568C">
      <w:pPr>
        <w:spacing w:before="0" w:beforeAutospacing="off" w:after="0" w:afterAutospacing="off" w:line="480" w:lineRule="auto"/>
        <w:ind w:left="630" w:right="0" w:hanging="630"/>
        <w:jc w:val="both"/>
      </w:pPr>
      <w:r w:rsidRPr="35B2FBC5" w:rsidR="71145355">
        <w:rPr>
          <w:rFonts w:ascii="Arial" w:hAnsi="Arial" w:eastAsia="Arial" w:cs="Arial"/>
          <w:noProof w:val="0"/>
          <w:sz w:val="24"/>
          <w:szCs w:val="24"/>
          <w:lang w:val="es-CO"/>
        </w:rPr>
        <w:t>Vilariño</w:t>
      </w:r>
      <w:r w:rsidRPr="35B2FBC5" w:rsidR="71145355">
        <w:rPr>
          <w:rFonts w:ascii="Times New Roman" w:hAnsi="Times New Roman" w:eastAsia="Times New Roman" w:cs="Times New Roman"/>
          <w:noProof w:val="0"/>
          <w:sz w:val="24"/>
          <w:szCs w:val="24"/>
          <w:lang w:val="es-CO"/>
        </w:rPr>
        <w:t xml:space="preserve">, M., Amado, B. G. y Alves, C. (2013). </w:t>
      </w:r>
      <w:r w:rsidRPr="35B2FBC5" w:rsidR="71145355">
        <w:rPr>
          <w:rFonts w:ascii="Arial" w:hAnsi="Arial" w:eastAsia="Arial" w:cs="Arial"/>
          <w:noProof w:val="0"/>
          <w:sz w:val="24"/>
          <w:szCs w:val="24"/>
          <w:lang w:val="es-CO"/>
        </w:rPr>
        <w:t>Menores</w:t>
      </w:r>
      <w:r w:rsidRPr="35B2FBC5" w:rsidR="71145355">
        <w:rPr>
          <w:rFonts w:ascii="Times New Roman" w:hAnsi="Times New Roman" w:eastAsia="Times New Roman" w:cs="Times New Roman"/>
          <w:noProof w:val="0"/>
          <w:sz w:val="24"/>
          <w:szCs w:val="24"/>
          <w:lang w:val="es-CO"/>
        </w:rPr>
        <w:t xml:space="preserve"> </w:t>
      </w:r>
      <w:r w:rsidRPr="35B2FBC5" w:rsidR="71145355">
        <w:rPr>
          <w:rFonts w:ascii="Arial" w:hAnsi="Arial" w:eastAsia="Arial" w:cs="Arial"/>
          <w:noProof w:val="0"/>
          <w:sz w:val="24"/>
          <w:szCs w:val="24"/>
          <w:lang w:val="es-CO"/>
        </w:rPr>
        <w:t xml:space="preserve">infractores: un estudio de campo de los factores de riesgo. Anuario de Psicología Jurídica, 23(1), 39-45. </w:t>
      </w:r>
    </w:p>
    <w:p w:rsidR="71145355" w:rsidP="35B2FBC5" w:rsidRDefault="71145355" w14:paraId="2D7DD031" w14:textId="1E28B4CF">
      <w:pPr>
        <w:spacing w:before="0" w:beforeAutospacing="off" w:after="0" w:afterAutospacing="off" w:line="480" w:lineRule="auto"/>
        <w:ind w:left="630" w:right="0" w:hanging="630"/>
        <w:jc w:val="both"/>
        <w:rPr>
          <w:rFonts w:ascii="Arial" w:hAnsi="Arial" w:eastAsia="Arial" w:cs="Arial"/>
          <w:noProof w:val="0"/>
          <w:sz w:val="24"/>
          <w:szCs w:val="24"/>
          <w:lang w:val="es-CO"/>
        </w:rPr>
      </w:pPr>
      <w:r w:rsidRPr="35B2FBC5" w:rsidR="71145355">
        <w:rPr>
          <w:rFonts w:ascii="Arial" w:hAnsi="Arial" w:eastAsia="Arial" w:cs="Arial"/>
          <w:noProof w:val="0"/>
          <w:sz w:val="24"/>
          <w:szCs w:val="24"/>
          <w:lang w:val="es-CO"/>
        </w:rPr>
        <w:t>Walton, S. M.</w:t>
      </w:r>
      <w:r w:rsidRPr="35B2FBC5" w:rsidR="71145355">
        <w:rPr>
          <w:rFonts w:ascii="Times New Roman" w:hAnsi="Times New Roman" w:eastAsia="Times New Roman" w:cs="Times New Roman"/>
          <w:noProof w:val="0"/>
          <w:sz w:val="24"/>
          <w:szCs w:val="24"/>
          <w:lang w:val="es-CO"/>
        </w:rPr>
        <w:t xml:space="preserve">, y Pérez, C. A. S. (2019). La violencia intrafamiliar: Un problema de salud actual. </w:t>
      </w:r>
      <w:r w:rsidRPr="35B2FBC5" w:rsidR="71145355">
        <w:rPr>
          <w:rFonts w:ascii="Times New Roman" w:hAnsi="Times New Roman" w:eastAsia="Times New Roman" w:cs="Times New Roman"/>
          <w:i w:val="1"/>
          <w:iCs w:val="1"/>
          <w:noProof w:val="0"/>
          <w:sz w:val="24"/>
          <w:szCs w:val="24"/>
          <w:lang w:val="es-CO"/>
        </w:rPr>
        <w:t>Gaceta Médica Espirituana, 21</w:t>
      </w:r>
      <w:r w:rsidRPr="35B2FBC5" w:rsidR="71145355">
        <w:rPr>
          <w:rFonts w:ascii="Times New Roman" w:hAnsi="Times New Roman" w:eastAsia="Times New Roman" w:cs="Times New Roman"/>
          <w:noProof w:val="0"/>
          <w:sz w:val="24"/>
          <w:szCs w:val="24"/>
          <w:lang w:val="es-CO"/>
        </w:rPr>
        <w:t>(1).</w:t>
      </w:r>
      <w:r w:rsidRPr="35B2FBC5" w:rsidR="71145355">
        <w:rPr>
          <w:rFonts w:ascii="Arial" w:hAnsi="Arial" w:eastAsia="Arial" w:cs="Arial"/>
          <w:noProof w:val="0"/>
          <w:sz w:val="24"/>
          <w:szCs w:val="24"/>
          <w:lang w:val="es-CO"/>
        </w:rPr>
        <w:t xml:space="preserve"> </w:t>
      </w:r>
      <w:r w:rsidRPr="35B2FBC5" w:rsidR="256918BE">
        <w:rPr>
          <w:rFonts w:ascii="Arial" w:hAnsi="Arial" w:eastAsia="Arial" w:cs="Arial"/>
          <w:noProof w:val="0"/>
          <w:sz w:val="24"/>
          <w:szCs w:val="24"/>
          <w:lang w:val="es-CO"/>
        </w:rPr>
        <w:t xml:space="preserve">Ward, T., </w:t>
      </w:r>
      <w:r w:rsidRPr="35B2FBC5" w:rsidR="256918BE">
        <w:rPr>
          <w:rFonts w:ascii="Times New Roman" w:hAnsi="Times New Roman" w:eastAsia="Times New Roman" w:cs="Times New Roman"/>
          <w:noProof w:val="0"/>
          <w:sz w:val="24"/>
          <w:szCs w:val="24"/>
          <w:lang w:val="es-CO"/>
        </w:rPr>
        <w:t xml:space="preserve">y </w:t>
      </w:r>
      <w:r w:rsidRPr="35B2FBC5" w:rsidR="256918BE">
        <w:rPr>
          <w:rFonts w:ascii="Times New Roman" w:hAnsi="Times New Roman" w:eastAsia="Times New Roman" w:cs="Times New Roman"/>
          <w:noProof w:val="0"/>
          <w:sz w:val="24"/>
          <w:szCs w:val="24"/>
          <w:lang w:val="es-CO"/>
        </w:rPr>
        <w:t>Langlands</w:t>
      </w:r>
      <w:r w:rsidRPr="35B2FBC5" w:rsidR="256918BE">
        <w:rPr>
          <w:rFonts w:ascii="Times New Roman" w:hAnsi="Times New Roman" w:eastAsia="Times New Roman" w:cs="Times New Roman"/>
          <w:noProof w:val="0"/>
          <w:sz w:val="24"/>
          <w:szCs w:val="24"/>
          <w:lang w:val="es-CO"/>
        </w:rPr>
        <w:t xml:space="preserve">, R. (2009). </w:t>
      </w:r>
      <w:r w:rsidRPr="35B2FBC5" w:rsidR="256918BE">
        <w:rPr>
          <w:rFonts w:ascii="Times New Roman" w:hAnsi="Times New Roman" w:eastAsia="Times New Roman" w:cs="Times New Roman"/>
          <w:noProof w:val="0"/>
          <w:sz w:val="24"/>
          <w:szCs w:val="24"/>
          <w:lang w:val="es-CO"/>
        </w:rPr>
        <w:t>Repairing</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the</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rupture</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Restorative</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justice</w:t>
      </w:r>
      <w:r w:rsidRPr="35B2FBC5" w:rsidR="256918BE">
        <w:rPr>
          <w:rFonts w:ascii="Times New Roman" w:hAnsi="Times New Roman" w:eastAsia="Times New Roman" w:cs="Times New Roman"/>
          <w:noProof w:val="0"/>
          <w:sz w:val="24"/>
          <w:szCs w:val="24"/>
          <w:lang w:val="es-CO"/>
        </w:rPr>
        <w:t xml:space="preserve"> and </w:t>
      </w:r>
      <w:r w:rsidRPr="35B2FBC5" w:rsidR="256918BE">
        <w:rPr>
          <w:rFonts w:ascii="Times New Roman" w:hAnsi="Times New Roman" w:eastAsia="Times New Roman" w:cs="Times New Roman"/>
          <w:noProof w:val="0"/>
          <w:sz w:val="24"/>
          <w:szCs w:val="24"/>
          <w:lang w:val="es-CO"/>
        </w:rPr>
        <w:t>the</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rehabilitation</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of</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noProof w:val="0"/>
          <w:sz w:val="24"/>
          <w:szCs w:val="24"/>
          <w:lang w:val="es-CO"/>
        </w:rPr>
        <w:t>offenders</w:t>
      </w:r>
      <w:r w:rsidRPr="35B2FBC5" w:rsidR="256918BE">
        <w:rPr>
          <w:rFonts w:ascii="Times New Roman" w:hAnsi="Times New Roman" w:eastAsia="Times New Roman" w:cs="Times New Roman"/>
          <w:noProof w:val="0"/>
          <w:sz w:val="24"/>
          <w:szCs w:val="24"/>
          <w:lang w:val="es-CO"/>
        </w:rPr>
        <w:t xml:space="preserve">. </w:t>
      </w:r>
      <w:r w:rsidRPr="35B2FBC5" w:rsidR="256918BE">
        <w:rPr>
          <w:rFonts w:ascii="Times New Roman" w:hAnsi="Times New Roman" w:eastAsia="Times New Roman" w:cs="Times New Roman"/>
          <w:i w:val="1"/>
          <w:iCs w:val="1"/>
          <w:noProof w:val="0"/>
          <w:sz w:val="24"/>
          <w:szCs w:val="24"/>
          <w:lang w:val="es-CO"/>
        </w:rPr>
        <w:t>Aggression</w:t>
      </w:r>
      <w:r w:rsidRPr="35B2FBC5" w:rsidR="256918BE">
        <w:rPr>
          <w:rFonts w:ascii="Times New Roman" w:hAnsi="Times New Roman" w:eastAsia="Times New Roman" w:cs="Times New Roman"/>
          <w:i w:val="1"/>
          <w:iCs w:val="1"/>
          <w:noProof w:val="0"/>
          <w:sz w:val="24"/>
          <w:szCs w:val="24"/>
          <w:lang w:val="es-CO"/>
        </w:rPr>
        <w:t xml:space="preserve"> and </w:t>
      </w:r>
      <w:r w:rsidRPr="35B2FBC5" w:rsidR="256918BE">
        <w:rPr>
          <w:rFonts w:ascii="Times New Roman" w:hAnsi="Times New Roman" w:eastAsia="Times New Roman" w:cs="Times New Roman"/>
          <w:i w:val="1"/>
          <w:iCs w:val="1"/>
          <w:noProof w:val="0"/>
          <w:sz w:val="24"/>
          <w:szCs w:val="24"/>
          <w:lang w:val="es-CO"/>
        </w:rPr>
        <w:t>Violent</w:t>
      </w:r>
      <w:r w:rsidRPr="35B2FBC5" w:rsidR="256918BE">
        <w:rPr>
          <w:rFonts w:ascii="Times New Roman" w:hAnsi="Times New Roman" w:eastAsia="Times New Roman" w:cs="Times New Roman"/>
          <w:i w:val="1"/>
          <w:iCs w:val="1"/>
          <w:noProof w:val="0"/>
          <w:sz w:val="24"/>
          <w:szCs w:val="24"/>
          <w:lang w:val="es-CO"/>
        </w:rPr>
        <w:t xml:space="preserve"> </w:t>
      </w:r>
      <w:r w:rsidRPr="35B2FBC5" w:rsidR="256918BE">
        <w:rPr>
          <w:rFonts w:ascii="Times New Roman" w:hAnsi="Times New Roman" w:eastAsia="Times New Roman" w:cs="Times New Roman"/>
          <w:i w:val="1"/>
          <w:iCs w:val="1"/>
          <w:noProof w:val="0"/>
          <w:sz w:val="24"/>
          <w:szCs w:val="24"/>
          <w:lang w:val="es-CO"/>
        </w:rPr>
        <w:t>Behavior</w:t>
      </w:r>
      <w:r w:rsidRPr="35B2FBC5" w:rsidR="256918BE">
        <w:rPr>
          <w:rFonts w:ascii="Times New Roman" w:hAnsi="Times New Roman" w:eastAsia="Times New Roman" w:cs="Times New Roman"/>
          <w:i w:val="1"/>
          <w:iCs w:val="1"/>
          <w:noProof w:val="0"/>
          <w:sz w:val="24"/>
          <w:szCs w:val="24"/>
          <w:lang w:val="es-CO"/>
        </w:rPr>
        <w:t>, 14</w:t>
      </w:r>
      <w:r w:rsidRPr="35B2FBC5" w:rsidR="256918BE">
        <w:rPr>
          <w:rFonts w:ascii="Times New Roman" w:hAnsi="Times New Roman" w:eastAsia="Times New Roman" w:cs="Times New Roman"/>
          <w:noProof w:val="0"/>
          <w:sz w:val="24"/>
          <w:szCs w:val="24"/>
          <w:lang w:val="es-CO"/>
        </w:rPr>
        <w:t>, 205-214.</w:t>
      </w:r>
      <w:r w:rsidRPr="35B2FBC5" w:rsidR="256918BE">
        <w:rPr>
          <w:rFonts w:ascii="Arial" w:hAnsi="Arial" w:eastAsia="Arial" w:cs="Arial"/>
          <w:noProof w:val="0"/>
          <w:sz w:val="24"/>
          <w:szCs w:val="24"/>
          <w:lang w:val="es-CO"/>
        </w:rPr>
        <w:t xml:space="preserve"> </w:t>
      </w:r>
    </w:p>
    <w:p w:rsidR="71145355" w:rsidP="35B2FBC5" w:rsidRDefault="71145355" w14:paraId="0BF9AAF9" w14:textId="3F94BFCE">
      <w:pPr>
        <w:spacing w:before="0" w:beforeAutospacing="off" w:after="0" w:afterAutospacing="off" w:line="480" w:lineRule="auto"/>
        <w:ind w:left="630" w:right="0" w:hanging="630"/>
        <w:jc w:val="both"/>
        <w:rPr>
          <w:rFonts w:ascii="Arial" w:hAnsi="Arial" w:eastAsia="Arial" w:cs="Arial"/>
          <w:noProof w:val="0"/>
          <w:sz w:val="24"/>
          <w:szCs w:val="24"/>
          <w:lang w:val="es-CO"/>
        </w:rPr>
      </w:pPr>
      <w:r w:rsidRPr="35B2FBC5" w:rsidR="256918BE">
        <w:rPr>
          <w:rFonts w:ascii="Arial" w:hAnsi="Arial" w:eastAsia="Arial" w:cs="Arial"/>
          <w:noProof w:val="0"/>
          <w:sz w:val="24"/>
          <w:szCs w:val="24"/>
          <w:lang w:val="es-CO"/>
        </w:rPr>
        <w:t xml:space="preserve">Galtung, J (2023). Educación para la paz, 4,5,6 </w:t>
      </w:r>
    </w:p>
    <w:p w:rsidR="71145355" w:rsidP="35B2FBC5" w:rsidRDefault="71145355" w14:paraId="27B7C358" w14:textId="2FB807BE">
      <w:pPr>
        <w:spacing w:before="0" w:beforeAutospacing="off" w:after="0" w:afterAutospacing="off" w:line="480" w:lineRule="auto"/>
        <w:ind w:left="630" w:right="0" w:hanging="630"/>
        <w:jc w:val="both"/>
        <w:rPr>
          <w:rFonts w:ascii="Arial" w:hAnsi="Arial" w:eastAsia="Arial" w:cs="Arial"/>
          <w:noProof w:val="0"/>
          <w:sz w:val="24"/>
          <w:szCs w:val="24"/>
          <w:lang w:val="es-CO"/>
        </w:rPr>
      </w:pPr>
      <w:r w:rsidRPr="35B2FBC5" w:rsidR="0B05FA38">
        <w:rPr>
          <w:rFonts w:ascii="Arial" w:hAnsi="Arial" w:eastAsia="Arial" w:cs="Arial"/>
          <w:noProof w:val="0"/>
          <w:sz w:val="24"/>
          <w:szCs w:val="24"/>
          <w:lang w:val="es-CO"/>
        </w:rPr>
        <w:t xml:space="preserve">Fernández, C. H., </w:t>
      </w:r>
      <w:r w:rsidRPr="35B2FBC5" w:rsidR="0B05FA38">
        <w:rPr>
          <w:rFonts w:ascii="Arial" w:hAnsi="Arial" w:eastAsia="Arial" w:cs="Arial"/>
          <w:noProof w:val="0"/>
          <w:sz w:val="24"/>
          <w:szCs w:val="24"/>
          <w:lang w:val="es-CO"/>
        </w:rPr>
        <w:t>Cancino</w:t>
      </w:r>
      <w:r w:rsidRPr="35B2FBC5" w:rsidR="0B05FA38">
        <w:rPr>
          <w:rFonts w:ascii="Arial" w:hAnsi="Arial" w:eastAsia="Arial" w:cs="Arial"/>
          <w:noProof w:val="0"/>
          <w:sz w:val="24"/>
          <w:szCs w:val="24"/>
          <w:lang w:val="es-CO"/>
        </w:rPr>
        <w:t>, D., Botero, L. F. A., &amp; Prada Ramírez, M. P. (</w:t>
      </w:r>
      <w:r w:rsidRPr="35B2FBC5" w:rsidR="480E6DD8">
        <w:rPr>
          <w:rFonts w:ascii="Arial" w:hAnsi="Arial" w:eastAsia="Arial" w:cs="Arial"/>
          <w:noProof w:val="0"/>
          <w:sz w:val="24"/>
          <w:szCs w:val="24"/>
          <w:lang w:val="es-CO"/>
        </w:rPr>
        <w:t>2017</w:t>
      </w:r>
      <w:r w:rsidRPr="35B2FBC5" w:rsidR="0B05FA38">
        <w:rPr>
          <w:rFonts w:ascii="Arial" w:hAnsi="Arial" w:eastAsia="Arial" w:cs="Arial"/>
          <w:noProof w:val="0"/>
          <w:sz w:val="24"/>
          <w:szCs w:val="24"/>
          <w:lang w:val="es-CO"/>
        </w:rPr>
        <w:t xml:space="preserve">). </w:t>
      </w:r>
      <w:r w:rsidRPr="35B2FBC5" w:rsidR="0B05FA38">
        <w:rPr>
          <w:rFonts w:ascii="Arial" w:hAnsi="Arial" w:eastAsia="Arial" w:cs="Arial"/>
          <w:i w:val="1"/>
          <w:iCs w:val="1"/>
          <w:noProof w:val="0"/>
          <w:sz w:val="24"/>
          <w:szCs w:val="24"/>
          <w:lang w:val="es-CO"/>
        </w:rPr>
        <w:t>[Facilitación</w:t>
      </w:r>
      <w:r w:rsidRPr="35B2FBC5" w:rsidR="5990548B">
        <w:rPr>
          <w:rFonts w:ascii="Arial" w:hAnsi="Arial" w:eastAsia="Arial" w:cs="Arial"/>
          <w:i w:val="1"/>
          <w:iCs w:val="1"/>
          <w:noProof w:val="0"/>
          <w:sz w:val="24"/>
          <w:szCs w:val="24"/>
          <w:lang w:val="es-CO"/>
        </w:rPr>
        <w:t xml:space="preserve"> de diálogos y transformación de conflictos: conceptos</w:t>
      </w:r>
      <w:r w:rsidRPr="35B2FBC5" w:rsidR="749B113B">
        <w:rPr>
          <w:rFonts w:ascii="Arial" w:hAnsi="Arial" w:eastAsia="Arial" w:cs="Arial"/>
          <w:i w:val="1"/>
          <w:iCs w:val="1"/>
          <w:noProof w:val="0"/>
          <w:sz w:val="24"/>
          <w:szCs w:val="24"/>
          <w:lang w:val="es-CO"/>
        </w:rPr>
        <w:t xml:space="preserve"> y herramientas básicas para la práctica</w:t>
      </w:r>
      <w:r w:rsidRPr="35B2FBC5" w:rsidR="0B05FA38">
        <w:rPr>
          <w:rFonts w:ascii="Arial" w:hAnsi="Arial" w:eastAsia="Arial" w:cs="Arial"/>
          <w:i w:val="1"/>
          <w:iCs w:val="1"/>
          <w:noProof w:val="0"/>
          <w:sz w:val="24"/>
          <w:szCs w:val="24"/>
          <w:lang w:val="es-CO"/>
        </w:rPr>
        <w:t>]</w:t>
      </w:r>
      <w:r w:rsidRPr="35B2FBC5" w:rsidR="0B05FA38">
        <w:rPr>
          <w:rFonts w:ascii="Arial" w:hAnsi="Arial" w:eastAsia="Arial" w:cs="Arial"/>
          <w:noProof w:val="0"/>
          <w:sz w:val="24"/>
          <w:szCs w:val="24"/>
          <w:lang w:val="es-CO"/>
        </w:rPr>
        <w:t xml:space="preserve">. Sandra Helena Botero O. (Ed.). Instituto Kroc de la Universidad de </w:t>
      </w:r>
      <w:r w:rsidRPr="35B2FBC5" w:rsidR="0B05FA38">
        <w:rPr>
          <w:rFonts w:ascii="Arial" w:hAnsi="Arial" w:eastAsia="Arial" w:cs="Arial"/>
          <w:noProof w:val="0"/>
          <w:sz w:val="24"/>
          <w:szCs w:val="24"/>
          <w:lang w:val="es-CO"/>
        </w:rPr>
        <w:t>Notre</w:t>
      </w:r>
      <w:r w:rsidRPr="35B2FBC5" w:rsidR="0B05FA38">
        <w:rPr>
          <w:rFonts w:ascii="Arial" w:hAnsi="Arial" w:eastAsia="Arial" w:cs="Arial"/>
          <w:noProof w:val="0"/>
          <w:sz w:val="24"/>
          <w:szCs w:val="24"/>
          <w:lang w:val="es-CO"/>
        </w:rPr>
        <w:t xml:space="preserve">-Dame. </w:t>
      </w:r>
      <w:hyperlink r:id="Rf8e53c1d9d374cbc">
        <w:r w:rsidRPr="35B2FBC5" w:rsidR="0B05FA38">
          <w:rPr>
            <w:rStyle w:val="Hipervnculo"/>
            <w:rFonts w:ascii="Arial" w:hAnsi="Arial" w:eastAsia="Arial" w:cs="Arial"/>
            <w:noProof w:val="0"/>
            <w:sz w:val="24"/>
            <w:szCs w:val="24"/>
            <w:lang w:val="es-CO"/>
          </w:rPr>
          <w:t>https://www.grafoscopio.co</w:t>
        </w:r>
      </w:hyperlink>
    </w:p>
    <w:p w:rsidR="71145355" w:rsidP="35B2FBC5" w:rsidRDefault="71145355" w14:paraId="2ACCB34F" w14:textId="79CF470E">
      <w:pPr>
        <w:spacing w:before="0" w:beforeAutospacing="off" w:after="160" w:afterAutospacing="off" w:line="480" w:lineRule="auto"/>
        <w:jc w:val="both"/>
      </w:pPr>
      <w:r w:rsidRPr="35B2FBC5" w:rsidR="71145355">
        <w:rPr>
          <w:rFonts w:ascii="Calibri" w:hAnsi="Calibri" w:eastAsia="Calibri" w:cs="Calibri"/>
          <w:noProof w:val="0"/>
          <w:sz w:val="22"/>
          <w:szCs w:val="22"/>
          <w:lang w:val="es-CO"/>
        </w:rPr>
        <w:t xml:space="preserve"> </w:t>
      </w:r>
    </w:p>
    <w:p w:rsidR="71145355" w:rsidP="35B2FBC5" w:rsidRDefault="71145355" w14:paraId="074B5360" w14:textId="1BB2D127">
      <w:pPr>
        <w:spacing w:before="0" w:beforeAutospacing="off" w:after="0" w:afterAutospacing="off" w:line="480" w:lineRule="auto"/>
        <w:jc w:val="both"/>
      </w:pPr>
      <w:r w:rsidRPr="35B2FBC5" w:rsidR="71145355">
        <w:rPr>
          <w:rFonts w:ascii="Arial" w:hAnsi="Arial" w:eastAsia="Arial" w:cs="Arial"/>
          <w:noProof w:val="0"/>
          <w:sz w:val="24"/>
          <w:szCs w:val="24"/>
          <w:lang w:val="es-CO"/>
        </w:rPr>
        <w:t xml:space="preserve"> </w:t>
      </w:r>
    </w:p>
    <w:p w:rsidR="71145355" w:rsidP="35B2FBC5" w:rsidRDefault="71145355" w14:paraId="3F4B4B61" w14:textId="7ADB5729">
      <w:pPr>
        <w:spacing w:before="0" w:beforeAutospacing="off" w:after="0" w:afterAutospacing="off" w:line="480" w:lineRule="auto"/>
        <w:jc w:val="both"/>
      </w:pPr>
      <w:r w:rsidRPr="35B2FBC5" w:rsidR="71145355">
        <w:rPr>
          <w:rFonts w:ascii="Arial" w:hAnsi="Arial" w:eastAsia="Arial" w:cs="Arial"/>
          <w:noProof w:val="0"/>
          <w:sz w:val="24"/>
          <w:szCs w:val="24"/>
          <w:lang w:val="es-CO"/>
        </w:rPr>
        <w:t xml:space="preserve"> </w:t>
      </w:r>
    </w:p>
    <w:p w:rsidR="71145355" w:rsidP="35B2FBC5" w:rsidRDefault="71145355" w14:paraId="3E354F5C" w14:textId="535535B8">
      <w:pPr>
        <w:spacing w:before="0" w:beforeAutospacing="off" w:after="0" w:afterAutospacing="off" w:line="480" w:lineRule="auto"/>
        <w:jc w:val="both"/>
      </w:pPr>
      <w:r w:rsidRPr="35B2FBC5" w:rsidR="71145355">
        <w:rPr>
          <w:rFonts w:ascii="Arial" w:hAnsi="Arial" w:eastAsia="Arial" w:cs="Arial"/>
          <w:noProof w:val="0"/>
          <w:sz w:val="24"/>
          <w:szCs w:val="24"/>
          <w:lang w:val="es-CO"/>
        </w:rPr>
        <w:t xml:space="preserve"> </w:t>
      </w:r>
    </w:p>
    <w:p w:rsidR="71145355" w:rsidP="35B2FBC5" w:rsidRDefault="71145355" w14:paraId="44029B14" w14:textId="6F4D0D1A">
      <w:pPr>
        <w:spacing w:before="0" w:beforeAutospacing="off" w:after="0" w:afterAutospacing="off" w:line="480" w:lineRule="auto"/>
        <w:jc w:val="both"/>
      </w:pPr>
      <w:r w:rsidRPr="35B2FBC5" w:rsidR="71145355">
        <w:rPr>
          <w:rFonts w:ascii="Arial" w:hAnsi="Arial" w:eastAsia="Arial" w:cs="Arial"/>
          <w:noProof w:val="0"/>
          <w:sz w:val="24"/>
          <w:szCs w:val="24"/>
          <w:lang w:val="es-CO"/>
        </w:rPr>
        <w:t xml:space="preserve"> </w:t>
      </w:r>
    </w:p>
    <w:p w:rsidR="71145355" w:rsidP="35B2FBC5" w:rsidRDefault="71145355" w14:paraId="2A7903A7" w14:textId="6DEBC111">
      <w:pPr>
        <w:spacing w:before="0" w:beforeAutospacing="off" w:after="0" w:afterAutospacing="off" w:line="480" w:lineRule="auto"/>
        <w:jc w:val="both"/>
      </w:pPr>
      <w:r w:rsidRPr="35B2FBC5" w:rsidR="71145355">
        <w:rPr>
          <w:rFonts w:ascii="Arial" w:hAnsi="Arial" w:eastAsia="Arial" w:cs="Arial"/>
          <w:noProof w:val="0"/>
          <w:sz w:val="24"/>
          <w:szCs w:val="24"/>
          <w:lang w:val="es-CO"/>
        </w:rPr>
        <w:t xml:space="preserve"> </w:t>
      </w:r>
    </w:p>
    <w:p w:rsidR="78CE3551" w:rsidP="35B2FBC5" w:rsidRDefault="78CE3551" w14:paraId="750A6DEF" w14:textId="4D17CF60">
      <w:pPr>
        <w:spacing w:before="0" w:beforeAutospacing="off" w:after="0" w:afterAutospacing="off" w:line="480" w:lineRule="auto"/>
        <w:ind w:left="709" w:right="0" w:hanging="709"/>
        <w:jc w:val="both"/>
        <w:rPr>
          <w:rFonts w:ascii="Arial" w:hAnsi="Arial" w:eastAsia="Arial" w:cs="Arial"/>
          <w:noProof w:val="0"/>
          <w:sz w:val="24"/>
          <w:szCs w:val="24"/>
          <w:lang w:val="es-CO"/>
        </w:rPr>
      </w:pPr>
    </w:p>
    <w:p w:rsidR="78CE3551" w:rsidP="35B2FBC5" w:rsidRDefault="78CE3551" w14:paraId="1AD02E12" w14:textId="45066592">
      <w:pPr>
        <w:pStyle w:val="Normal"/>
        <w:spacing w:line="480" w:lineRule="auto"/>
        <w:rPr>
          <w:rFonts w:ascii="Arial" w:hAnsi="Arial" w:eastAsia="Arial" w:cs="Arial"/>
          <w:b w:val="0"/>
          <w:bCs w:val="0"/>
          <w:sz w:val="24"/>
          <w:szCs w:val="24"/>
        </w:rPr>
      </w:pPr>
    </w:p>
    <w:sectPr w:rsidRPr="00B72C72" w:rsidR="009C6E9E">
      <w:pgSz w:w="12240" w:h="15840" w:orient="portrait"/>
      <w:pgMar w:top="1417" w:right="1701" w:bottom="1417" w:left="1701"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w16cid:commentId w16cid:paraId="5AA5140D" w16cid:durableId="41917A32"/>
  <w16cid:commentId w16cid:paraId="19BAEF85" w16cid:durableId="45AE4386"/>
  <w16cid:commentId w16cid:paraId="33838C78" w16cid:durableId="10D70017"/>
  <w16cid:commentId w16cid:paraId="58B0B88D" w16cid:durableId="04C45688"/>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intelligence2.xml><?xml version="1.0" encoding="utf-8"?>
<int2:intelligence xmlns:int2="http://schemas.microsoft.com/office/intelligence/2020/intelligence">
  <int2:observations>
    <int2:textHash int2:hashCode="Pv1MD+GFE13SxY" int2:id="GA6B8vvm">
      <int2:state int2:type="AugLoop_Text_Critique" int2:value="Rejected"/>
    </int2:textHash>
    <int2:textHash int2:hashCode="3MbezyfwOeiPRO" int2:id="9yJi3SsJ">
      <int2:state int2:type="AugLoop_Text_Critique" int2:value="Rejected"/>
    </int2:textHash>
    <int2:textHash int2:hashCode="K4Ik7IiTJffpxj" int2:id="bhTnU3Qn">
      <int2:state int2:type="AugLoop_Text_Critique" int2:value="Rejected"/>
    </int2:textHash>
    <int2:textHash int2:hashCode="IQMsovwa7c6KFC" int2:id="MYtSZFaQ">
      <int2:state int2:type="AugLoop_Text_Critique" int2:value="Rejected"/>
    </int2:textHash>
    <int2:textHash int2:hashCode="oguRsSajz7TacL" int2:id="WnZ0PGxB">
      <int2:state int2:type="AugLoop_Text_Critique" int2:value="Rejected"/>
    </int2:textHash>
    <int2:textHash int2:hashCode="PDj0rzbVWI/wdL" int2:id="4EcGll8K">
      <int2:state int2:type="AugLoop_Text_Critique" int2:value="Rejected"/>
    </int2:textHash>
    <int2:textHash int2:hashCode="zX4k5UO3WBDmxq" int2:id="DKazXVQ1">
      <int2:state int2:type="AugLoop_Text_Critique" int2:value="Rejected"/>
    </int2:textHash>
    <int2:textHash int2:hashCode="o+jSY9CUq92flS" int2:id="7h9GmoW1">
      <int2:state int2:type="AugLoop_Text_Critique" int2:value="Rejected"/>
    </int2:textHash>
    <int2:textHash int2:hashCode="Ef+x79ijExN6KU" int2:id="wvP1ttQU">
      <int2:state int2:type="AugLoop_Text_Critique" int2:value="Rejected"/>
    </int2:textHash>
    <int2:textHash int2:hashCode="uSaM1KRy0ZtJjs" int2:id="8g6A1fO0">
      <int2:state int2:type="AugLoop_Text_Critique" int2:value="Rejected"/>
    </int2:textHash>
    <int2:textHash int2:hashCode="r07+SbjTNsO/lN" int2:id="wCJXQgi6">
      <int2:state int2:type="AugLoop_Text_Critique" int2:value="Rejected"/>
    </int2:textHash>
    <int2:textHash int2:hashCode="zzyutBoq2p4rTQ" int2:id="YABRcAtI">
      <int2:state int2:type="AugLoop_Text_Critique" int2:value="Rejected"/>
    </int2:textHash>
    <int2:textHash int2:hashCode="26gQqCmkcRYJ5v" int2:id="YKFdFhge">
      <int2:state int2:type="AugLoop_Text_Critique" int2:value="Rejected"/>
    </int2:textHash>
    <int2:textHash int2:hashCode="hWIlsNUcJEa/EE" int2:id="8WrskzDn">
      <int2:state int2:type="AugLoop_Text_Critique" int2:value="Rejected"/>
    </int2:textHash>
    <int2:textHash int2:hashCode="MCzDs1STeFg+xP" int2:id="RFNnfa8x">
      <int2:state int2:type="AugLoop_Text_Critique" int2:value="Rejected"/>
    </int2:textHash>
    <int2:textHash int2:hashCode="Yle1VzPaj23q22" int2:id="JbseOsvY">
      <int2:state int2:type="AugLoop_Text_Critique" int2:value="Rejected"/>
    </int2:textHash>
    <int2:textHash int2:hashCode="fGoYHysxWJdg9E" int2:id="zj0cB6R3">
      <int2:state int2:type="AugLoop_Text_Critique" int2:value="Rejected"/>
    </int2:textHash>
    <int2:bookmark int2:bookmarkName="_Int_Dwed79Ha" int2:invalidationBookmarkName="" int2:hashCode="oCYoyY8g9PCIuS" int2:id="qyqMYisS">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xmlns:w="http://schemas.openxmlformats.org/wordprocessingml/2006/main" w:abstractNumId="57">
    <w:nsid w:val="5c2236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6">
    <w:nsid w:val="7101afc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5">
    <w:nsid w:val="436cddc4"/>
    <w:multiLevelType xmlns:w="http://schemas.openxmlformats.org/wordprocessingml/2006/main" w:val="hybridMultilevel"/>
    <w:lvl xmlns:w="http://schemas.openxmlformats.org/wordprocessingml/2006/main" w:ilvl="0">
      <w:start w:val="6"/>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4">
    <w:nsid w:val="384172c2"/>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3">
    <w:nsid w:val="157c07bc"/>
    <w:multiLevelType xmlns:w="http://schemas.openxmlformats.org/wordprocessingml/2006/main" w:val="hybridMultilevel"/>
    <w:lvl xmlns:w="http://schemas.openxmlformats.org/wordprocessingml/2006/main" w:ilvl="0">
      <w:start w:val="5"/>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2">
    <w:nsid w:val="66fa4fd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1">
    <w:nsid w:val="5e41477a"/>
    <w:multiLevelType xmlns:w="http://schemas.openxmlformats.org/wordprocessingml/2006/main" w:val="hybridMultilevel"/>
    <w:lvl xmlns:w="http://schemas.openxmlformats.org/wordprocessingml/2006/main" w:ilvl="0">
      <w:start w:val="4"/>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50">
    <w:nsid w:val="24e9567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ptos&quot;,serif" w:hAnsi="&quot;Aptos&quot;,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9">
    <w:nsid w:val="3172362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ptos&quot;,serif" w:hAnsi="&quot;Aptos&quot;,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8">
    <w:nsid w:val="62348580"/>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ptos&quot;,serif" w:hAnsi="&quot;Aptos&quot;,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7">
    <w:nsid w:val="694be8bd"/>
    <w:multiLevelType xmlns:w="http://schemas.openxmlformats.org/wordprocessingml/2006/main" w:val="hybridMultilevel"/>
    <w:lvl xmlns:w="http://schemas.openxmlformats.org/wordprocessingml/2006/main" w:ilvl="0">
      <w:start w:val="3"/>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6">
    <w:nsid w:val="165f458"/>
    <w:multiLevelType xmlns:w="http://schemas.openxmlformats.org/wordprocessingml/2006/main" w:val="hybridMultilevel"/>
    <w:lvl xmlns:w="http://schemas.openxmlformats.org/wordprocessingml/2006/main" w:ilvl="0">
      <w:start w:val="3"/>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5">
    <w:nsid w:val="5d8c408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quot;Aptos&quot;,serif" w:hAnsi="&quot;Aptos&quot;,serif"/>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4">
    <w:nsid w:val="465fe410"/>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3">
    <w:nsid w:val="449a8b9b"/>
    <w:multiLevelType xmlns:w="http://schemas.openxmlformats.org/wordprocessingml/2006/main" w:val="hybridMultilevel"/>
    <w:lvl xmlns:w="http://schemas.openxmlformats.org/wordprocessingml/2006/main" w:ilvl="0">
      <w:start w:val="2"/>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2">
    <w:nsid w:val="4cc8f47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1">
    <w:nsid w:val="7421f3dd"/>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40">
    <w:nsid w:val="865b311"/>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9">
    <w:nsid w:val="3e5ec0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8">
    <w:nsid w:val="2d7f0e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7">
    <w:nsid w:val="3da869ae"/>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6">
    <w:nsid w:val="3a41da3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5">
    <w:nsid w:val="1d09a38d"/>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4">
    <w:nsid w:val="79969834"/>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3">
    <w:nsid w:val="1daf8251"/>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2">
    <w:nsid w:val="20cce08"/>
    <w:multiLevelType xmlns:w="http://schemas.openxmlformats.org/wordprocessingml/2006/main" w:val="hybridMultilevel"/>
    <w:lvl xmlns:w="http://schemas.openxmlformats.org/wordprocessingml/2006/main" w:ilvl="0">
      <w:start w:val="1"/>
      <w:numFmt w:val="lowerLetter"/>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31">
    <w:nsid w:val="4c32db8"/>
    <w:multiLevelType xmlns:w="http://schemas.openxmlformats.org/wordprocessingml/2006/main" w:val="hybridMultilevel"/>
    <w:lvl xmlns:w="http://schemas.openxmlformats.org/wordprocessingml/2006/main" w:ilvl="0">
      <w:start w:val="1"/>
      <w:numFmt w:val="decimal"/>
      <w:lvlText w:val="%1."/>
      <w:lvlJc w:val="left"/>
      <w:pPr>
        <w:ind w:left="1069" w:hanging="360"/>
      </w:pPr>
    </w:lvl>
    <w:lvl xmlns:w="http://schemas.openxmlformats.org/wordprocessingml/2006/main" w:ilvl="1">
      <w:start w:val="1"/>
      <w:numFmt w:val="lowerLetter"/>
      <w:lvlText w:val="%2."/>
      <w:lvlJc w:val="left"/>
      <w:pPr>
        <w:ind w:left="1789" w:hanging="360"/>
      </w:pPr>
    </w:lvl>
    <w:lvl xmlns:w="http://schemas.openxmlformats.org/wordprocessingml/2006/main" w:ilvl="2">
      <w:start w:val="1"/>
      <w:numFmt w:val="lowerRoman"/>
      <w:lvlText w:val="%3."/>
      <w:lvlJc w:val="right"/>
      <w:pPr>
        <w:ind w:left="2509" w:hanging="180"/>
      </w:pPr>
    </w:lvl>
    <w:lvl xmlns:w="http://schemas.openxmlformats.org/wordprocessingml/2006/main" w:ilvl="3">
      <w:start w:val="1"/>
      <w:numFmt w:val="decimal"/>
      <w:lvlText w:val="%4."/>
      <w:lvlJc w:val="left"/>
      <w:pPr>
        <w:ind w:left="3229" w:hanging="360"/>
      </w:pPr>
    </w:lvl>
    <w:lvl xmlns:w="http://schemas.openxmlformats.org/wordprocessingml/2006/main" w:ilvl="4">
      <w:start w:val="1"/>
      <w:numFmt w:val="lowerLetter"/>
      <w:lvlText w:val="%5."/>
      <w:lvlJc w:val="left"/>
      <w:pPr>
        <w:ind w:left="3949" w:hanging="360"/>
      </w:pPr>
    </w:lvl>
    <w:lvl xmlns:w="http://schemas.openxmlformats.org/wordprocessingml/2006/main" w:ilvl="5">
      <w:start w:val="1"/>
      <w:numFmt w:val="lowerRoman"/>
      <w:lvlText w:val="%6."/>
      <w:lvlJc w:val="right"/>
      <w:pPr>
        <w:ind w:left="4669" w:hanging="180"/>
      </w:pPr>
    </w:lvl>
    <w:lvl xmlns:w="http://schemas.openxmlformats.org/wordprocessingml/2006/main" w:ilvl="6">
      <w:start w:val="1"/>
      <w:numFmt w:val="decimal"/>
      <w:lvlText w:val="%7."/>
      <w:lvlJc w:val="left"/>
      <w:pPr>
        <w:ind w:left="5389" w:hanging="360"/>
      </w:pPr>
    </w:lvl>
    <w:lvl xmlns:w="http://schemas.openxmlformats.org/wordprocessingml/2006/main" w:ilvl="7">
      <w:start w:val="1"/>
      <w:numFmt w:val="lowerLetter"/>
      <w:lvlText w:val="%8."/>
      <w:lvlJc w:val="left"/>
      <w:pPr>
        <w:ind w:left="6109" w:hanging="360"/>
      </w:pPr>
    </w:lvl>
    <w:lvl xmlns:w="http://schemas.openxmlformats.org/wordprocessingml/2006/main" w:ilvl="8">
      <w:start w:val="1"/>
      <w:numFmt w:val="lowerRoman"/>
      <w:lvlText w:val="%9."/>
      <w:lvlJc w:val="right"/>
      <w:pPr>
        <w:ind w:left="6829" w:hanging="180"/>
      </w:pPr>
    </w:lvl>
  </w:abstractNum>
  <w:abstractNum xmlns:w="http://schemas.openxmlformats.org/wordprocessingml/2006/main" w:abstractNumId="30">
    <w:nsid w:val="1669e99a"/>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9">
    <w:nsid w:val="752e9ce9"/>
    <w:multiLevelType xmlns:w="http://schemas.openxmlformats.org/wordprocessingml/2006/main" w:val="hybridMultilevel"/>
    <w:lvl xmlns:w="http://schemas.openxmlformats.org/wordprocessingml/2006/main" w:ilvl="0">
      <w:start w:val="1"/>
      <w:numFmt w:val="bullet"/>
      <w:lvlText w:val="-"/>
      <w:lvlJc w:val="left"/>
      <w:pPr>
        <w:ind w:left="1080" w:hanging="360"/>
      </w:pPr>
      <w:rPr>
        <w:rFonts w:hint="default" w:ascii="Aptos" w:hAnsi="Aptos"/>
      </w:rPr>
    </w:lvl>
    <w:lvl xmlns:w="http://schemas.openxmlformats.org/wordprocessingml/2006/main" w:ilvl="1">
      <w:start w:val="1"/>
      <w:numFmt w:val="bullet"/>
      <w:lvlText w:val="o"/>
      <w:lvlJc w:val="left"/>
      <w:pPr>
        <w:ind w:left="1800" w:hanging="360"/>
      </w:pPr>
      <w:rPr>
        <w:rFonts w:hint="default" w:ascii="Courier New" w:hAnsi="Courier New"/>
      </w:rPr>
    </w:lvl>
    <w:lvl xmlns:w="http://schemas.openxmlformats.org/wordprocessingml/2006/main" w:ilvl="2">
      <w:start w:val="1"/>
      <w:numFmt w:val="bullet"/>
      <w:lvlText w:val=""/>
      <w:lvlJc w:val="left"/>
      <w:pPr>
        <w:ind w:left="2520" w:hanging="360"/>
      </w:pPr>
      <w:rPr>
        <w:rFonts w:hint="default" w:ascii="Wingdings" w:hAnsi="Wingdings"/>
      </w:rPr>
    </w:lvl>
    <w:lvl xmlns:w="http://schemas.openxmlformats.org/wordprocessingml/2006/main" w:ilvl="3">
      <w:start w:val="1"/>
      <w:numFmt w:val="bullet"/>
      <w:lvlText w:val=""/>
      <w:lvlJc w:val="left"/>
      <w:pPr>
        <w:ind w:left="3240" w:hanging="360"/>
      </w:pPr>
      <w:rPr>
        <w:rFonts w:hint="default" w:ascii="Symbol" w:hAnsi="Symbol"/>
      </w:rPr>
    </w:lvl>
    <w:lvl xmlns:w="http://schemas.openxmlformats.org/wordprocessingml/2006/main" w:ilvl="4">
      <w:start w:val="1"/>
      <w:numFmt w:val="bullet"/>
      <w:lvlText w:val="o"/>
      <w:lvlJc w:val="left"/>
      <w:pPr>
        <w:ind w:left="3960" w:hanging="360"/>
      </w:pPr>
      <w:rPr>
        <w:rFonts w:hint="default" w:ascii="Courier New" w:hAnsi="Courier New"/>
      </w:rPr>
    </w:lvl>
    <w:lvl xmlns:w="http://schemas.openxmlformats.org/wordprocessingml/2006/main" w:ilvl="5">
      <w:start w:val="1"/>
      <w:numFmt w:val="bullet"/>
      <w:lvlText w:val=""/>
      <w:lvlJc w:val="left"/>
      <w:pPr>
        <w:ind w:left="4680" w:hanging="360"/>
      </w:pPr>
      <w:rPr>
        <w:rFonts w:hint="default" w:ascii="Wingdings" w:hAnsi="Wingdings"/>
      </w:rPr>
    </w:lvl>
    <w:lvl xmlns:w="http://schemas.openxmlformats.org/wordprocessingml/2006/main" w:ilvl="6">
      <w:start w:val="1"/>
      <w:numFmt w:val="bullet"/>
      <w:lvlText w:val=""/>
      <w:lvlJc w:val="left"/>
      <w:pPr>
        <w:ind w:left="5400" w:hanging="360"/>
      </w:pPr>
      <w:rPr>
        <w:rFonts w:hint="default" w:ascii="Symbol" w:hAnsi="Symbol"/>
      </w:rPr>
    </w:lvl>
    <w:lvl xmlns:w="http://schemas.openxmlformats.org/wordprocessingml/2006/main" w:ilvl="7">
      <w:start w:val="1"/>
      <w:numFmt w:val="bullet"/>
      <w:lvlText w:val="o"/>
      <w:lvlJc w:val="left"/>
      <w:pPr>
        <w:ind w:left="6120" w:hanging="360"/>
      </w:pPr>
      <w:rPr>
        <w:rFonts w:hint="default" w:ascii="Courier New" w:hAnsi="Courier New"/>
      </w:rPr>
    </w:lvl>
    <w:lvl xmlns:w="http://schemas.openxmlformats.org/wordprocessingml/2006/main" w:ilvl="8">
      <w:start w:val="1"/>
      <w:numFmt w:val="bullet"/>
      <w:lvlText w:val=""/>
      <w:lvlJc w:val="left"/>
      <w:pPr>
        <w:ind w:left="6840" w:hanging="360"/>
      </w:pPr>
      <w:rPr>
        <w:rFonts w:hint="default" w:ascii="Wingdings" w:hAnsi="Wingdings"/>
      </w:rPr>
    </w:lvl>
  </w:abstractNum>
  <w:abstractNum xmlns:w="http://schemas.openxmlformats.org/wordprocessingml/2006/main" w:abstractNumId="28">
    <w:nsid w:val="12084bcb"/>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7">
    <w:nsid w:val="42ff472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6">
    <w:nsid w:val="6a1bef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5">
    <w:nsid w:val="65b89036"/>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lowerLetter"/>
      <w:lvlText w:val="%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xmlns:w="http://schemas.openxmlformats.org/wordprocessingml/2006/main" w:abstractNumId="24">
    <w:nsid w:val="fdfbf5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Aptos" w:hAnsi="Aptos"/>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3">
    <w:nsid w:val="78ecd4a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2">
    <w:nsid w:val="43e1a11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1">
    <w:nsid w:val="4d0baef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0">
    <w:nsid w:val="76b80733"/>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9">
    <w:nsid w:val="3e765f0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8">
    <w:nsid w:val="41d7d4c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7">
    <w:nsid w:val="7942a16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6">
    <w:nsid w:val="6d2de7f4"/>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5">
    <w:nsid w:val="7c7c4f2f"/>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4">
    <w:nsid w:val="68e34326"/>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3">
    <w:nsid w:val="53ca029"/>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6ba9d87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69a13ede"/>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1da7f248"/>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5e3e498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6ab11387"/>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50a9ca9d"/>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5c672f22"/>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10ccc521"/>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4eed38eb"/>
    <w:multiLevelType xmlns:w="http://schemas.openxmlformats.org/wordprocessingml/2006/main" w:val="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ba64027"/>
    <w:multiLevelType xmlns:w="http://schemas.openxmlformats.org/wordprocessingml/2006/main" w:val="hybridMultilevel"/>
    <w:lvl xmlns:w="http://schemas.openxmlformats.org/wordprocessingml/2006/main" w:ilvl="0">
      <w:start w:val="1"/>
      <w:numFmt w:val="bullet"/>
      <w:lvlText w:val="-"/>
      <w:lvlJc w:val="left"/>
      <w:pPr>
        <w:ind w:left="1069" w:hanging="360"/>
      </w:pPr>
      <w:rPr>
        <w:rFonts w:hint="default" w:ascii="Aptos" w:hAnsi="Aptos"/>
      </w:rPr>
    </w:lvl>
    <w:lvl xmlns:w="http://schemas.openxmlformats.org/wordprocessingml/2006/main" w:ilvl="1">
      <w:start w:val="1"/>
      <w:numFmt w:val="bullet"/>
      <w:lvlText w:val="o"/>
      <w:lvlJc w:val="left"/>
      <w:pPr>
        <w:ind w:left="1789" w:hanging="360"/>
      </w:pPr>
      <w:rPr>
        <w:rFonts w:hint="default" w:ascii="Courier New" w:hAnsi="Courier New"/>
      </w:rPr>
    </w:lvl>
    <w:lvl xmlns:w="http://schemas.openxmlformats.org/wordprocessingml/2006/main" w:ilvl="2">
      <w:start w:val="1"/>
      <w:numFmt w:val="bullet"/>
      <w:lvlText w:val=""/>
      <w:lvlJc w:val="left"/>
      <w:pPr>
        <w:ind w:left="2509" w:hanging="360"/>
      </w:pPr>
      <w:rPr>
        <w:rFonts w:hint="default" w:ascii="Wingdings" w:hAnsi="Wingdings"/>
      </w:rPr>
    </w:lvl>
    <w:lvl xmlns:w="http://schemas.openxmlformats.org/wordprocessingml/2006/main" w:ilvl="3">
      <w:start w:val="1"/>
      <w:numFmt w:val="bullet"/>
      <w:lvlText w:val=""/>
      <w:lvlJc w:val="left"/>
      <w:pPr>
        <w:ind w:left="3229" w:hanging="360"/>
      </w:pPr>
      <w:rPr>
        <w:rFonts w:hint="default" w:ascii="Symbol" w:hAnsi="Symbol"/>
      </w:rPr>
    </w:lvl>
    <w:lvl xmlns:w="http://schemas.openxmlformats.org/wordprocessingml/2006/main" w:ilvl="4">
      <w:start w:val="1"/>
      <w:numFmt w:val="bullet"/>
      <w:lvlText w:val="o"/>
      <w:lvlJc w:val="left"/>
      <w:pPr>
        <w:ind w:left="3949" w:hanging="360"/>
      </w:pPr>
      <w:rPr>
        <w:rFonts w:hint="default" w:ascii="Courier New" w:hAnsi="Courier New"/>
      </w:rPr>
    </w:lvl>
    <w:lvl xmlns:w="http://schemas.openxmlformats.org/wordprocessingml/2006/main" w:ilvl="5">
      <w:start w:val="1"/>
      <w:numFmt w:val="bullet"/>
      <w:lvlText w:val=""/>
      <w:lvlJc w:val="left"/>
      <w:pPr>
        <w:ind w:left="4669" w:hanging="360"/>
      </w:pPr>
      <w:rPr>
        <w:rFonts w:hint="default" w:ascii="Wingdings" w:hAnsi="Wingdings"/>
      </w:rPr>
    </w:lvl>
    <w:lvl xmlns:w="http://schemas.openxmlformats.org/wordprocessingml/2006/main" w:ilvl="6">
      <w:start w:val="1"/>
      <w:numFmt w:val="bullet"/>
      <w:lvlText w:val=""/>
      <w:lvlJc w:val="left"/>
      <w:pPr>
        <w:ind w:left="5389" w:hanging="360"/>
      </w:pPr>
      <w:rPr>
        <w:rFonts w:hint="default" w:ascii="Symbol" w:hAnsi="Symbol"/>
      </w:rPr>
    </w:lvl>
    <w:lvl xmlns:w="http://schemas.openxmlformats.org/wordprocessingml/2006/main" w:ilvl="7">
      <w:start w:val="1"/>
      <w:numFmt w:val="bullet"/>
      <w:lvlText w:val="o"/>
      <w:lvlJc w:val="left"/>
      <w:pPr>
        <w:ind w:left="6109" w:hanging="360"/>
      </w:pPr>
      <w:rPr>
        <w:rFonts w:hint="default" w:ascii="Courier New" w:hAnsi="Courier New"/>
      </w:rPr>
    </w:lvl>
    <w:lvl xmlns:w="http://schemas.openxmlformats.org/wordprocessingml/2006/main" w:ilvl="8">
      <w:start w:val="1"/>
      <w:numFmt w:val="bullet"/>
      <w:lvlText w:val=""/>
      <w:lvlJc w:val="left"/>
      <w:pPr>
        <w:ind w:left="6829" w:hanging="360"/>
      </w:pPr>
      <w:rPr>
        <w:rFonts w:hint="default" w:ascii="Wingdings" w:hAnsi="Wingdings"/>
      </w:rPr>
    </w:lvl>
  </w:abstractNum>
  <w:abstractNum xmlns:w="http://schemas.openxmlformats.org/wordprocessingml/2006/main" w:abstractNumId="2">
    <w:nsid w:val="65740d1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Symbol" w:hAnsi="Symbol"/>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w:abstractNumId="0" w15:restartNumberingAfterBreak="0">
    <w:nsid w:val="12FC12C6"/>
    <w:multiLevelType w:val="hybridMultilevel"/>
    <w:tmpl w:val="46E647FC"/>
    <w:lvl w:ilvl="0" w:tplc="AEC071AC">
      <w:numFmt w:val="bullet"/>
      <w:lvlText w:val="-"/>
      <w:lvlJc w:val="left"/>
      <w:pPr>
        <w:ind w:left="1129" w:hanging="360"/>
      </w:pPr>
      <w:rPr>
        <w:rFonts w:hint="default" w:ascii="Arial" w:hAnsi="Arial" w:cs="Arial" w:eastAsiaTheme="minorHAnsi"/>
      </w:rPr>
    </w:lvl>
    <w:lvl w:ilvl="1" w:tplc="240A0003" w:tentative="1">
      <w:start w:val="1"/>
      <w:numFmt w:val="bullet"/>
      <w:lvlText w:val="o"/>
      <w:lvlJc w:val="left"/>
      <w:pPr>
        <w:ind w:left="1849" w:hanging="360"/>
      </w:pPr>
      <w:rPr>
        <w:rFonts w:hint="default" w:ascii="Courier New" w:hAnsi="Courier New" w:cs="Courier New"/>
      </w:rPr>
    </w:lvl>
    <w:lvl w:ilvl="2" w:tplc="240A0005" w:tentative="1">
      <w:start w:val="1"/>
      <w:numFmt w:val="bullet"/>
      <w:lvlText w:val=""/>
      <w:lvlJc w:val="left"/>
      <w:pPr>
        <w:ind w:left="2569" w:hanging="360"/>
      </w:pPr>
      <w:rPr>
        <w:rFonts w:hint="default" w:ascii="Wingdings" w:hAnsi="Wingdings"/>
      </w:rPr>
    </w:lvl>
    <w:lvl w:ilvl="3" w:tplc="240A0001" w:tentative="1">
      <w:start w:val="1"/>
      <w:numFmt w:val="bullet"/>
      <w:lvlText w:val=""/>
      <w:lvlJc w:val="left"/>
      <w:pPr>
        <w:ind w:left="3289" w:hanging="360"/>
      </w:pPr>
      <w:rPr>
        <w:rFonts w:hint="default" w:ascii="Symbol" w:hAnsi="Symbol"/>
      </w:rPr>
    </w:lvl>
    <w:lvl w:ilvl="4" w:tplc="240A0003" w:tentative="1">
      <w:start w:val="1"/>
      <w:numFmt w:val="bullet"/>
      <w:lvlText w:val="o"/>
      <w:lvlJc w:val="left"/>
      <w:pPr>
        <w:ind w:left="4009" w:hanging="360"/>
      </w:pPr>
      <w:rPr>
        <w:rFonts w:hint="default" w:ascii="Courier New" w:hAnsi="Courier New" w:cs="Courier New"/>
      </w:rPr>
    </w:lvl>
    <w:lvl w:ilvl="5" w:tplc="240A0005" w:tentative="1">
      <w:start w:val="1"/>
      <w:numFmt w:val="bullet"/>
      <w:lvlText w:val=""/>
      <w:lvlJc w:val="left"/>
      <w:pPr>
        <w:ind w:left="4729" w:hanging="360"/>
      </w:pPr>
      <w:rPr>
        <w:rFonts w:hint="default" w:ascii="Wingdings" w:hAnsi="Wingdings"/>
      </w:rPr>
    </w:lvl>
    <w:lvl w:ilvl="6" w:tplc="240A0001" w:tentative="1">
      <w:start w:val="1"/>
      <w:numFmt w:val="bullet"/>
      <w:lvlText w:val=""/>
      <w:lvlJc w:val="left"/>
      <w:pPr>
        <w:ind w:left="5449" w:hanging="360"/>
      </w:pPr>
      <w:rPr>
        <w:rFonts w:hint="default" w:ascii="Symbol" w:hAnsi="Symbol"/>
      </w:rPr>
    </w:lvl>
    <w:lvl w:ilvl="7" w:tplc="240A0003" w:tentative="1">
      <w:start w:val="1"/>
      <w:numFmt w:val="bullet"/>
      <w:lvlText w:val="o"/>
      <w:lvlJc w:val="left"/>
      <w:pPr>
        <w:ind w:left="6169" w:hanging="360"/>
      </w:pPr>
      <w:rPr>
        <w:rFonts w:hint="default" w:ascii="Courier New" w:hAnsi="Courier New" w:cs="Courier New"/>
      </w:rPr>
    </w:lvl>
    <w:lvl w:ilvl="8" w:tplc="240A0005" w:tentative="1">
      <w:start w:val="1"/>
      <w:numFmt w:val="bullet"/>
      <w:lvlText w:val=""/>
      <w:lvlJc w:val="left"/>
      <w:pPr>
        <w:ind w:left="6889" w:hanging="360"/>
      </w:pPr>
      <w:rPr>
        <w:rFonts w:hint="default" w:ascii="Wingdings" w:hAnsi="Wingdings"/>
      </w:rPr>
    </w:lvl>
  </w:abstractNum>
  <w:abstractNum w:abstractNumId="1" w15:restartNumberingAfterBreak="0">
    <w:nsid w:val="3F642D62"/>
    <w:multiLevelType w:val="hybridMultilevel"/>
    <w:tmpl w:val="38FC94B2"/>
    <w:lvl w:ilvl="0" w:tplc="240A0001">
      <w:start w:val="1"/>
      <w:numFmt w:val="bullet"/>
      <w:lvlText w:val=""/>
      <w:lvlJc w:val="left"/>
      <w:pPr>
        <w:ind w:left="1069" w:hanging="360"/>
      </w:pPr>
      <w:rPr>
        <w:rFonts w:hint="default" w:ascii="Symbol" w:hAnsi="Symbol"/>
      </w:rPr>
    </w:lvl>
    <w:lvl w:ilvl="1" w:tplc="240A0003" w:tentative="1">
      <w:start w:val="1"/>
      <w:numFmt w:val="bullet"/>
      <w:lvlText w:val="o"/>
      <w:lvlJc w:val="left"/>
      <w:pPr>
        <w:ind w:left="1789" w:hanging="360"/>
      </w:pPr>
      <w:rPr>
        <w:rFonts w:hint="default" w:ascii="Courier New" w:hAnsi="Courier New" w:cs="Courier New"/>
      </w:rPr>
    </w:lvl>
    <w:lvl w:ilvl="2" w:tplc="240A0005" w:tentative="1">
      <w:start w:val="1"/>
      <w:numFmt w:val="bullet"/>
      <w:lvlText w:val=""/>
      <w:lvlJc w:val="left"/>
      <w:pPr>
        <w:ind w:left="2509" w:hanging="360"/>
      </w:pPr>
      <w:rPr>
        <w:rFonts w:hint="default" w:ascii="Wingdings" w:hAnsi="Wingdings"/>
      </w:rPr>
    </w:lvl>
    <w:lvl w:ilvl="3" w:tplc="240A0001" w:tentative="1">
      <w:start w:val="1"/>
      <w:numFmt w:val="bullet"/>
      <w:lvlText w:val=""/>
      <w:lvlJc w:val="left"/>
      <w:pPr>
        <w:ind w:left="3229" w:hanging="360"/>
      </w:pPr>
      <w:rPr>
        <w:rFonts w:hint="default" w:ascii="Symbol" w:hAnsi="Symbol"/>
      </w:rPr>
    </w:lvl>
    <w:lvl w:ilvl="4" w:tplc="240A0003" w:tentative="1">
      <w:start w:val="1"/>
      <w:numFmt w:val="bullet"/>
      <w:lvlText w:val="o"/>
      <w:lvlJc w:val="left"/>
      <w:pPr>
        <w:ind w:left="3949" w:hanging="360"/>
      </w:pPr>
      <w:rPr>
        <w:rFonts w:hint="default" w:ascii="Courier New" w:hAnsi="Courier New" w:cs="Courier New"/>
      </w:rPr>
    </w:lvl>
    <w:lvl w:ilvl="5" w:tplc="240A0005" w:tentative="1">
      <w:start w:val="1"/>
      <w:numFmt w:val="bullet"/>
      <w:lvlText w:val=""/>
      <w:lvlJc w:val="left"/>
      <w:pPr>
        <w:ind w:left="4669" w:hanging="360"/>
      </w:pPr>
      <w:rPr>
        <w:rFonts w:hint="default" w:ascii="Wingdings" w:hAnsi="Wingdings"/>
      </w:rPr>
    </w:lvl>
    <w:lvl w:ilvl="6" w:tplc="240A0001" w:tentative="1">
      <w:start w:val="1"/>
      <w:numFmt w:val="bullet"/>
      <w:lvlText w:val=""/>
      <w:lvlJc w:val="left"/>
      <w:pPr>
        <w:ind w:left="5389" w:hanging="360"/>
      </w:pPr>
      <w:rPr>
        <w:rFonts w:hint="default" w:ascii="Symbol" w:hAnsi="Symbol"/>
      </w:rPr>
    </w:lvl>
    <w:lvl w:ilvl="7" w:tplc="240A0003" w:tentative="1">
      <w:start w:val="1"/>
      <w:numFmt w:val="bullet"/>
      <w:lvlText w:val="o"/>
      <w:lvlJc w:val="left"/>
      <w:pPr>
        <w:ind w:left="6109" w:hanging="360"/>
      </w:pPr>
      <w:rPr>
        <w:rFonts w:hint="default" w:ascii="Courier New" w:hAnsi="Courier New" w:cs="Courier New"/>
      </w:rPr>
    </w:lvl>
    <w:lvl w:ilvl="8" w:tplc="240A0005" w:tentative="1">
      <w:start w:val="1"/>
      <w:numFmt w:val="bullet"/>
      <w:lvlText w:val=""/>
      <w:lvlJc w:val="left"/>
      <w:pPr>
        <w:ind w:left="6829" w:hanging="360"/>
      </w:pPr>
      <w:rPr>
        <w:rFonts w:hint="default" w:ascii="Wingdings" w:hAnsi="Wingdings"/>
      </w:rPr>
    </w:lvl>
  </w:abstract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6">
    <w:abstractNumId w:val="25"/>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10">
    <w:abstractNumId w:val="9"/>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1">
    <w:abstractNumId w:val="1"/>
  </w:num>
  <w:num w:numId="2">
    <w:abstractNumId w:val="0"/>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6477"/>
    <w:rsid w:val="0004139E"/>
    <w:rsid w:val="000C15DC"/>
    <w:rsid w:val="001160D9"/>
    <w:rsid w:val="001674CD"/>
    <w:rsid w:val="001B3C99"/>
    <w:rsid w:val="001F35F8"/>
    <w:rsid w:val="00255600"/>
    <w:rsid w:val="002577EA"/>
    <w:rsid w:val="00293ACC"/>
    <w:rsid w:val="00295650"/>
    <w:rsid w:val="0039FAF9"/>
    <w:rsid w:val="003B5040"/>
    <w:rsid w:val="004156D1"/>
    <w:rsid w:val="0044541B"/>
    <w:rsid w:val="00516792"/>
    <w:rsid w:val="005D74E5"/>
    <w:rsid w:val="005F3123"/>
    <w:rsid w:val="0060106A"/>
    <w:rsid w:val="00623D7B"/>
    <w:rsid w:val="006A224A"/>
    <w:rsid w:val="006A8BB1"/>
    <w:rsid w:val="006BCAAE"/>
    <w:rsid w:val="006D4A25"/>
    <w:rsid w:val="006D6C71"/>
    <w:rsid w:val="00725F70"/>
    <w:rsid w:val="0080513B"/>
    <w:rsid w:val="00815894"/>
    <w:rsid w:val="0083B83E"/>
    <w:rsid w:val="00874443"/>
    <w:rsid w:val="0089656A"/>
    <w:rsid w:val="0095141B"/>
    <w:rsid w:val="00976E5A"/>
    <w:rsid w:val="009C0260"/>
    <w:rsid w:val="009C6E9E"/>
    <w:rsid w:val="00A001C8"/>
    <w:rsid w:val="00A17D59"/>
    <w:rsid w:val="00AC6EE2"/>
    <w:rsid w:val="00B32375"/>
    <w:rsid w:val="00B72C72"/>
    <w:rsid w:val="00B73D4D"/>
    <w:rsid w:val="00B768EF"/>
    <w:rsid w:val="00B79900"/>
    <w:rsid w:val="00BE4FEB"/>
    <w:rsid w:val="00C0F077"/>
    <w:rsid w:val="00C261F2"/>
    <w:rsid w:val="00C26AF1"/>
    <w:rsid w:val="00C52979"/>
    <w:rsid w:val="00C98C32"/>
    <w:rsid w:val="00CD473E"/>
    <w:rsid w:val="00CE10F8"/>
    <w:rsid w:val="00DB7439"/>
    <w:rsid w:val="00DC6477"/>
    <w:rsid w:val="00E25211"/>
    <w:rsid w:val="00EE6CC5"/>
    <w:rsid w:val="00F41CC8"/>
    <w:rsid w:val="00F53F4F"/>
    <w:rsid w:val="00F61D8F"/>
    <w:rsid w:val="00F7664D"/>
    <w:rsid w:val="010488B7"/>
    <w:rsid w:val="01402C25"/>
    <w:rsid w:val="017CF944"/>
    <w:rsid w:val="018B6362"/>
    <w:rsid w:val="01A7E5F3"/>
    <w:rsid w:val="01D979D4"/>
    <w:rsid w:val="01DDC3A4"/>
    <w:rsid w:val="01EA33AF"/>
    <w:rsid w:val="01EC7B56"/>
    <w:rsid w:val="020D4773"/>
    <w:rsid w:val="021F0539"/>
    <w:rsid w:val="022C2520"/>
    <w:rsid w:val="0236E263"/>
    <w:rsid w:val="025301FB"/>
    <w:rsid w:val="026D9336"/>
    <w:rsid w:val="026FC09B"/>
    <w:rsid w:val="02CFBA7E"/>
    <w:rsid w:val="03130351"/>
    <w:rsid w:val="031E4C9C"/>
    <w:rsid w:val="0324958F"/>
    <w:rsid w:val="033B0132"/>
    <w:rsid w:val="0361C781"/>
    <w:rsid w:val="03622945"/>
    <w:rsid w:val="0385A969"/>
    <w:rsid w:val="038DFBCD"/>
    <w:rsid w:val="0390F29D"/>
    <w:rsid w:val="03C27248"/>
    <w:rsid w:val="03C5493B"/>
    <w:rsid w:val="03CED50E"/>
    <w:rsid w:val="03F036B6"/>
    <w:rsid w:val="03FDD3A3"/>
    <w:rsid w:val="03FDE1E1"/>
    <w:rsid w:val="04108278"/>
    <w:rsid w:val="041893DF"/>
    <w:rsid w:val="04387D51"/>
    <w:rsid w:val="044FE6F6"/>
    <w:rsid w:val="04548EBF"/>
    <w:rsid w:val="04594EEE"/>
    <w:rsid w:val="04683B3B"/>
    <w:rsid w:val="0476EEA6"/>
    <w:rsid w:val="047BFA34"/>
    <w:rsid w:val="04804665"/>
    <w:rsid w:val="048549AD"/>
    <w:rsid w:val="049A3DC5"/>
    <w:rsid w:val="04B624EE"/>
    <w:rsid w:val="04C23B42"/>
    <w:rsid w:val="04DF8E4D"/>
    <w:rsid w:val="04E7EDBE"/>
    <w:rsid w:val="04EB3D23"/>
    <w:rsid w:val="04EF2D41"/>
    <w:rsid w:val="04EF76DE"/>
    <w:rsid w:val="04F01790"/>
    <w:rsid w:val="04F8B185"/>
    <w:rsid w:val="05053F61"/>
    <w:rsid w:val="05096884"/>
    <w:rsid w:val="0509D441"/>
    <w:rsid w:val="053041D7"/>
    <w:rsid w:val="05637844"/>
    <w:rsid w:val="05767B17"/>
    <w:rsid w:val="057BFDF9"/>
    <w:rsid w:val="0587199A"/>
    <w:rsid w:val="0595D4C3"/>
    <w:rsid w:val="05AD204F"/>
    <w:rsid w:val="05B1A533"/>
    <w:rsid w:val="05B78F17"/>
    <w:rsid w:val="05B7D9C4"/>
    <w:rsid w:val="05CEE8CA"/>
    <w:rsid w:val="05CF8704"/>
    <w:rsid w:val="05D3324B"/>
    <w:rsid w:val="05EA9242"/>
    <w:rsid w:val="0634B905"/>
    <w:rsid w:val="06395C8B"/>
    <w:rsid w:val="063CBFF5"/>
    <w:rsid w:val="06622E6D"/>
    <w:rsid w:val="06AE49A8"/>
    <w:rsid w:val="06C198E4"/>
    <w:rsid w:val="06CB3EF2"/>
    <w:rsid w:val="06CF5A7A"/>
    <w:rsid w:val="06D616CA"/>
    <w:rsid w:val="077785C6"/>
    <w:rsid w:val="07AD0D04"/>
    <w:rsid w:val="07D7FE1F"/>
    <w:rsid w:val="080E5923"/>
    <w:rsid w:val="080E9B26"/>
    <w:rsid w:val="081B938E"/>
    <w:rsid w:val="082BB64A"/>
    <w:rsid w:val="082C762D"/>
    <w:rsid w:val="08404D54"/>
    <w:rsid w:val="08598D0D"/>
    <w:rsid w:val="085BAAB8"/>
    <w:rsid w:val="0867CA3C"/>
    <w:rsid w:val="0874461D"/>
    <w:rsid w:val="089FC7CB"/>
    <w:rsid w:val="08A6DD48"/>
    <w:rsid w:val="08B9BA11"/>
    <w:rsid w:val="08D0C530"/>
    <w:rsid w:val="08E1142C"/>
    <w:rsid w:val="09CA2D42"/>
    <w:rsid w:val="09DC92F9"/>
    <w:rsid w:val="09E506C4"/>
    <w:rsid w:val="09F217B9"/>
    <w:rsid w:val="09F2DD8F"/>
    <w:rsid w:val="09F7FD31"/>
    <w:rsid w:val="0A020DF7"/>
    <w:rsid w:val="0A3F5374"/>
    <w:rsid w:val="0A4FEEA4"/>
    <w:rsid w:val="0A5476D0"/>
    <w:rsid w:val="0A57580A"/>
    <w:rsid w:val="0A6810C2"/>
    <w:rsid w:val="0A89927F"/>
    <w:rsid w:val="0A8EB986"/>
    <w:rsid w:val="0AA552C9"/>
    <w:rsid w:val="0ABCAFB9"/>
    <w:rsid w:val="0B05FA38"/>
    <w:rsid w:val="0B0F846A"/>
    <w:rsid w:val="0B31C52F"/>
    <w:rsid w:val="0B4E9308"/>
    <w:rsid w:val="0B511D1D"/>
    <w:rsid w:val="0B59DA9B"/>
    <w:rsid w:val="0B5F2506"/>
    <w:rsid w:val="0B773871"/>
    <w:rsid w:val="0B9AE4FD"/>
    <w:rsid w:val="0BA51809"/>
    <w:rsid w:val="0BAC9D92"/>
    <w:rsid w:val="0BF7D5AB"/>
    <w:rsid w:val="0BFB677A"/>
    <w:rsid w:val="0C33A617"/>
    <w:rsid w:val="0C429526"/>
    <w:rsid w:val="0C65F8BD"/>
    <w:rsid w:val="0CA20ED3"/>
    <w:rsid w:val="0CA60422"/>
    <w:rsid w:val="0CAAD75E"/>
    <w:rsid w:val="0CC37EAF"/>
    <w:rsid w:val="0CC74BE6"/>
    <w:rsid w:val="0D0A68FD"/>
    <w:rsid w:val="0D0C04D2"/>
    <w:rsid w:val="0D61E966"/>
    <w:rsid w:val="0DA35927"/>
    <w:rsid w:val="0DB83912"/>
    <w:rsid w:val="0DBB1C17"/>
    <w:rsid w:val="0DD0BFB1"/>
    <w:rsid w:val="0DF602B7"/>
    <w:rsid w:val="0E0A5E80"/>
    <w:rsid w:val="0E89ECD0"/>
    <w:rsid w:val="0EAE85BA"/>
    <w:rsid w:val="0ED6456B"/>
    <w:rsid w:val="0EF1623D"/>
    <w:rsid w:val="0F093CA2"/>
    <w:rsid w:val="0F109B38"/>
    <w:rsid w:val="0F172AC6"/>
    <w:rsid w:val="0F22AE0D"/>
    <w:rsid w:val="0F248E41"/>
    <w:rsid w:val="0F4DE38B"/>
    <w:rsid w:val="0F670C06"/>
    <w:rsid w:val="0F6D0B30"/>
    <w:rsid w:val="0F759881"/>
    <w:rsid w:val="0F860770"/>
    <w:rsid w:val="0FAD35CE"/>
    <w:rsid w:val="0FB2BBEC"/>
    <w:rsid w:val="0FB6C5E4"/>
    <w:rsid w:val="0FDD51F5"/>
    <w:rsid w:val="0FED5D8F"/>
    <w:rsid w:val="100FD9B0"/>
    <w:rsid w:val="102E9622"/>
    <w:rsid w:val="1039D665"/>
    <w:rsid w:val="10447DD0"/>
    <w:rsid w:val="10494E57"/>
    <w:rsid w:val="105E9757"/>
    <w:rsid w:val="106AD2B6"/>
    <w:rsid w:val="1076C835"/>
    <w:rsid w:val="1081580E"/>
    <w:rsid w:val="108A7305"/>
    <w:rsid w:val="108BDC4E"/>
    <w:rsid w:val="10A76437"/>
    <w:rsid w:val="10AE4824"/>
    <w:rsid w:val="10B45A05"/>
    <w:rsid w:val="10CAA133"/>
    <w:rsid w:val="10D863A1"/>
    <w:rsid w:val="10FD48C1"/>
    <w:rsid w:val="10FE7465"/>
    <w:rsid w:val="110DFB9F"/>
    <w:rsid w:val="1124F2ED"/>
    <w:rsid w:val="11276874"/>
    <w:rsid w:val="113BF219"/>
    <w:rsid w:val="113C839E"/>
    <w:rsid w:val="1182DBD1"/>
    <w:rsid w:val="11867B00"/>
    <w:rsid w:val="11A74C18"/>
    <w:rsid w:val="11B227C7"/>
    <w:rsid w:val="11B41853"/>
    <w:rsid w:val="11B70DCA"/>
    <w:rsid w:val="11CD66F2"/>
    <w:rsid w:val="11EA9F1A"/>
    <w:rsid w:val="11ECF29E"/>
    <w:rsid w:val="11FB6EC2"/>
    <w:rsid w:val="12079BD3"/>
    <w:rsid w:val="120E276D"/>
    <w:rsid w:val="121A96AD"/>
    <w:rsid w:val="1222D54A"/>
    <w:rsid w:val="12246AA8"/>
    <w:rsid w:val="129312B2"/>
    <w:rsid w:val="1296B1CE"/>
    <w:rsid w:val="12D8E87B"/>
    <w:rsid w:val="12F753EB"/>
    <w:rsid w:val="12F795CF"/>
    <w:rsid w:val="131B7750"/>
    <w:rsid w:val="1320E057"/>
    <w:rsid w:val="1347AFAC"/>
    <w:rsid w:val="135932CB"/>
    <w:rsid w:val="1371B5DF"/>
    <w:rsid w:val="13799315"/>
    <w:rsid w:val="1387E78D"/>
    <w:rsid w:val="13B33A92"/>
    <w:rsid w:val="13BF8F87"/>
    <w:rsid w:val="13D44E08"/>
    <w:rsid w:val="13DA0710"/>
    <w:rsid w:val="13DC079B"/>
    <w:rsid w:val="13E88021"/>
    <w:rsid w:val="13FC4D68"/>
    <w:rsid w:val="13FC9B23"/>
    <w:rsid w:val="13FF8BD5"/>
    <w:rsid w:val="14073194"/>
    <w:rsid w:val="141172AB"/>
    <w:rsid w:val="1427D534"/>
    <w:rsid w:val="1456E978"/>
    <w:rsid w:val="145DAC37"/>
    <w:rsid w:val="1460F0C1"/>
    <w:rsid w:val="14C77BFC"/>
    <w:rsid w:val="14D03E6A"/>
    <w:rsid w:val="14ECC465"/>
    <w:rsid w:val="14F69277"/>
    <w:rsid w:val="1506CBBD"/>
    <w:rsid w:val="150E83E1"/>
    <w:rsid w:val="15138A92"/>
    <w:rsid w:val="152AAA4D"/>
    <w:rsid w:val="15346931"/>
    <w:rsid w:val="1546DBC5"/>
    <w:rsid w:val="15AF908F"/>
    <w:rsid w:val="15C664DA"/>
    <w:rsid w:val="15DD555E"/>
    <w:rsid w:val="15E567CD"/>
    <w:rsid w:val="15E737C8"/>
    <w:rsid w:val="16065787"/>
    <w:rsid w:val="1612D93C"/>
    <w:rsid w:val="1643923A"/>
    <w:rsid w:val="16495BEA"/>
    <w:rsid w:val="16774E85"/>
    <w:rsid w:val="1678087D"/>
    <w:rsid w:val="1693DB38"/>
    <w:rsid w:val="16AF6E38"/>
    <w:rsid w:val="16C32502"/>
    <w:rsid w:val="16EDA7D8"/>
    <w:rsid w:val="16F1863C"/>
    <w:rsid w:val="16F223DF"/>
    <w:rsid w:val="173757B1"/>
    <w:rsid w:val="1738DE33"/>
    <w:rsid w:val="173A6693"/>
    <w:rsid w:val="175FD532"/>
    <w:rsid w:val="177032A1"/>
    <w:rsid w:val="177406D0"/>
    <w:rsid w:val="178449D9"/>
    <w:rsid w:val="17879B1B"/>
    <w:rsid w:val="178DBA9B"/>
    <w:rsid w:val="178ED5AF"/>
    <w:rsid w:val="1794849F"/>
    <w:rsid w:val="17C29A56"/>
    <w:rsid w:val="17DB9C8C"/>
    <w:rsid w:val="17EE8E0E"/>
    <w:rsid w:val="17F46055"/>
    <w:rsid w:val="1808DDCE"/>
    <w:rsid w:val="1825161E"/>
    <w:rsid w:val="182DE7F9"/>
    <w:rsid w:val="183674C7"/>
    <w:rsid w:val="18AD9178"/>
    <w:rsid w:val="18E87855"/>
    <w:rsid w:val="18F1418E"/>
    <w:rsid w:val="18F5B69A"/>
    <w:rsid w:val="18F85CC7"/>
    <w:rsid w:val="19410FB4"/>
    <w:rsid w:val="195749C6"/>
    <w:rsid w:val="195924F6"/>
    <w:rsid w:val="1960D438"/>
    <w:rsid w:val="1968A4FC"/>
    <w:rsid w:val="196A948C"/>
    <w:rsid w:val="19B79B0B"/>
    <w:rsid w:val="19CF62C6"/>
    <w:rsid w:val="19CFE178"/>
    <w:rsid w:val="19D9A51F"/>
    <w:rsid w:val="19DC784E"/>
    <w:rsid w:val="1A02E31D"/>
    <w:rsid w:val="1A200582"/>
    <w:rsid w:val="1A270924"/>
    <w:rsid w:val="1A27FF81"/>
    <w:rsid w:val="1A2F74CA"/>
    <w:rsid w:val="1A7ACC9D"/>
    <w:rsid w:val="1A952C60"/>
    <w:rsid w:val="1AB6B852"/>
    <w:rsid w:val="1ABBCF78"/>
    <w:rsid w:val="1ADA9E25"/>
    <w:rsid w:val="1B20C258"/>
    <w:rsid w:val="1B5B045B"/>
    <w:rsid w:val="1B5D53B6"/>
    <w:rsid w:val="1B823BEB"/>
    <w:rsid w:val="1B86E442"/>
    <w:rsid w:val="1BAAE926"/>
    <w:rsid w:val="1BCA3E2E"/>
    <w:rsid w:val="1BCB5F7F"/>
    <w:rsid w:val="1BCDCE30"/>
    <w:rsid w:val="1BE5FEDE"/>
    <w:rsid w:val="1BFBA419"/>
    <w:rsid w:val="1C011CB3"/>
    <w:rsid w:val="1C405B00"/>
    <w:rsid w:val="1C73E2E3"/>
    <w:rsid w:val="1C970E60"/>
    <w:rsid w:val="1CB1220E"/>
    <w:rsid w:val="1CB87C7A"/>
    <w:rsid w:val="1CD3724C"/>
    <w:rsid w:val="1CEA1505"/>
    <w:rsid w:val="1CECF75E"/>
    <w:rsid w:val="1D3335FF"/>
    <w:rsid w:val="1D5B2CAE"/>
    <w:rsid w:val="1D6B5D19"/>
    <w:rsid w:val="1D8C77B5"/>
    <w:rsid w:val="1D9521F0"/>
    <w:rsid w:val="1DA4F733"/>
    <w:rsid w:val="1DB41BC6"/>
    <w:rsid w:val="1DB8CE20"/>
    <w:rsid w:val="1DB8F6CF"/>
    <w:rsid w:val="1DBF8859"/>
    <w:rsid w:val="1DCF721F"/>
    <w:rsid w:val="1DD5BA6C"/>
    <w:rsid w:val="1E399110"/>
    <w:rsid w:val="1E57C826"/>
    <w:rsid w:val="1E7A6471"/>
    <w:rsid w:val="1E880D60"/>
    <w:rsid w:val="1E8D4516"/>
    <w:rsid w:val="1E9E66EC"/>
    <w:rsid w:val="1EB09FDA"/>
    <w:rsid w:val="1EC3EA8C"/>
    <w:rsid w:val="1ECFB07C"/>
    <w:rsid w:val="1EDD4EED"/>
    <w:rsid w:val="1EF02740"/>
    <w:rsid w:val="1EFFE807"/>
    <w:rsid w:val="1F14E395"/>
    <w:rsid w:val="1F174756"/>
    <w:rsid w:val="1F578F45"/>
    <w:rsid w:val="1F6DB381"/>
    <w:rsid w:val="1F827BC5"/>
    <w:rsid w:val="1F85DA52"/>
    <w:rsid w:val="1F914025"/>
    <w:rsid w:val="1FA31D43"/>
    <w:rsid w:val="1FC13A3A"/>
    <w:rsid w:val="1FD290AF"/>
    <w:rsid w:val="1FD8FAE9"/>
    <w:rsid w:val="1FE94D96"/>
    <w:rsid w:val="1FF52F43"/>
    <w:rsid w:val="20360C3C"/>
    <w:rsid w:val="20604BF6"/>
    <w:rsid w:val="2067CFA1"/>
    <w:rsid w:val="207D9908"/>
    <w:rsid w:val="208593D9"/>
    <w:rsid w:val="208A5CD9"/>
    <w:rsid w:val="20A264E4"/>
    <w:rsid w:val="20AAAC3D"/>
    <w:rsid w:val="20CC97E3"/>
    <w:rsid w:val="20CED21F"/>
    <w:rsid w:val="211557DD"/>
    <w:rsid w:val="2139EAA4"/>
    <w:rsid w:val="21453251"/>
    <w:rsid w:val="2149069F"/>
    <w:rsid w:val="2149DDEC"/>
    <w:rsid w:val="215EDED7"/>
    <w:rsid w:val="21647425"/>
    <w:rsid w:val="21736656"/>
    <w:rsid w:val="217ED2E6"/>
    <w:rsid w:val="218BB573"/>
    <w:rsid w:val="219CF719"/>
    <w:rsid w:val="219F8741"/>
    <w:rsid w:val="21AB6887"/>
    <w:rsid w:val="21C2AEE0"/>
    <w:rsid w:val="21CA6DE2"/>
    <w:rsid w:val="21D9CE2B"/>
    <w:rsid w:val="21E59A5D"/>
    <w:rsid w:val="220175E1"/>
    <w:rsid w:val="22071944"/>
    <w:rsid w:val="2215C167"/>
    <w:rsid w:val="2220C8EA"/>
    <w:rsid w:val="223EB507"/>
    <w:rsid w:val="225379DE"/>
    <w:rsid w:val="22570987"/>
    <w:rsid w:val="226FC2B3"/>
    <w:rsid w:val="227551F1"/>
    <w:rsid w:val="228116DF"/>
    <w:rsid w:val="22A20DEF"/>
    <w:rsid w:val="22B613AC"/>
    <w:rsid w:val="22C55815"/>
    <w:rsid w:val="22D09FD9"/>
    <w:rsid w:val="22E6B90E"/>
    <w:rsid w:val="231F1E23"/>
    <w:rsid w:val="2338C5F7"/>
    <w:rsid w:val="2350273A"/>
    <w:rsid w:val="235B8416"/>
    <w:rsid w:val="23641578"/>
    <w:rsid w:val="2377BD19"/>
    <w:rsid w:val="237C43CC"/>
    <w:rsid w:val="238B00C5"/>
    <w:rsid w:val="239D5B06"/>
    <w:rsid w:val="23B0C947"/>
    <w:rsid w:val="23B6BCD5"/>
    <w:rsid w:val="23EADD09"/>
    <w:rsid w:val="23F73BE5"/>
    <w:rsid w:val="2404E05C"/>
    <w:rsid w:val="243A8C08"/>
    <w:rsid w:val="243BE0AF"/>
    <w:rsid w:val="2460DB95"/>
    <w:rsid w:val="24712219"/>
    <w:rsid w:val="2491CC44"/>
    <w:rsid w:val="2499EF6B"/>
    <w:rsid w:val="249E0F9F"/>
    <w:rsid w:val="24BC874D"/>
    <w:rsid w:val="24C00264"/>
    <w:rsid w:val="24CF657B"/>
    <w:rsid w:val="24F46183"/>
    <w:rsid w:val="24FF3687"/>
    <w:rsid w:val="2502B6EE"/>
    <w:rsid w:val="25199EF4"/>
    <w:rsid w:val="253196F0"/>
    <w:rsid w:val="2538CA0D"/>
    <w:rsid w:val="256918BE"/>
    <w:rsid w:val="257778DE"/>
    <w:rsid w:val="25901AAD"/>
    <w:rsid w:val="259E3959"/>
    <w:rsid w:val="25A9C5A0"/>
    <w:rsid w:val="25B0F7F0"/>
    <w:rsid w:val="25C0CF48"/>
    <w:rsid w:val="25C904F3"/>
    <w:rsid w:val="25DC559E"/>
    <w:rsid w:val="25E00122"/>
    <w:rsid w:val="25F58984"/>
    <w:rsid w:val="25FA1E01"/>
    <w:rsid w:val="260A935D"/>
    <w:rsid w:val="2619E33B"/>
    <w:rsid w:val="2631A421"/>
    <w:rsid w:val="2648FAD7"/>
    <w:rsid w:val="264DE233"/>
    <w:rsid w:val="268624BB"/>
    <w:rsid w:val="26898113"/>
    <w:rsid w:val="269A3125"/>
    <w:rsid w:val="26A0401C"/>
    <w:rsid w:val="26A163FD"/>
    <w:rsid w:val="26A5012E"/>
    <w:rsid w:val="26AD124B"/>
    <w:rsid w:val="2702C295"/>
    <w:rsid w:val="2706BC73"/>
    <w:rsid w:val="271A0B09"/>
    <w:rsid w:val="27220398"/>
    <w:rsid w:val="275AA0BC"/>
    <w:rsid w:val="27662BA0"/>
    <w:rsid w:val="276D0F53"/>
    <w:rsid w:val="278BAEF2"/>
    <w:rsid w:val="279B314C"/>
    <w:rsid w:val="27B084D4"/>
    <w:rsid w:val="27BA0B37"/>
    <w:rsid w:val="27CF0F70"/>
    <w:rsid w:val="27D47BCC"/>
    <w:rsid w:val="27DFFC49"/>
    <w:rsid w:val="27E9D2E0"/>
    <w:rsid w:val="27FB6EA4"/>
    <w:rsid w:val="2816713D"/>
    <w:rsid w:val="2835482C"/>
    <w:rsid w:val="283E6CE5"/>
    <w:rsid w:val="28457730"/>
    <w:rsid w:val="2846F212"/>
    <w:rsid w:val="28908A9A"/>
    <w:rsid w:val="28A3F0C6"/>
    <w:rsid w:val="28B25961"/>
    <w:rsid w:val="28B4E327"/>
    <w:rsid w:val="28B86597"/>
    <w:rsid w:val="28BF7F0C"/>
    <w:rsid w:val="28D33603"/>
    <w:rsid w:val="28D4CD0C"/>
    <w:rsid w:val="28FB940F"/>
    <w:rsid w:val="2914BAD0"/>
    <w:rsid w:val="291CA839"/>
    <w:rsid w:val="2931427A"/>
    <w:rsid w:val="2939E778"/>
    <w:rsid w:val="29690032"/>
    <w:rsid w:val="2972EE1B"/>
    <w:rsid w:val="29881204"/>
    <w:rsid w:val="2997C3E4"/>
    <w:rsid w:val="29BB5502"/>
    <w:rsid w:val="29C48C9E"/>
    <w:rsid w:val="29C5991E"/>
    <w:rsid w:val="29D90097"/>
    <w:rsid w:val="29DCCCB6"/>
    <w:rsid w:val="29E87A9D"/>
    <w:rsid w:val="2A109604"/>
    <w:rsid w:val="2A300746"/>
    <w:rsid w:val="2A455F71"/>
    <w:rsid w:val="2A5D1189"/>
    <w:rsid w:val="2A682DAF"/>
    <w:rsid w:val="2A698D10"/>
    <w:rsid w:val="2A6DF9B7"/>
    <w:rsid w:val="2A8C045F"/>
    <w:rsid w:val="2A981169"/>
    <w:rsid w:val="2AC4EA7C"/>
    <w:rsid w:val="2AF9BC55"/>
    <w:rsid w:val="2B14B9F3"/>
    <w:rsid w:val="2B477EBB"/>
    <w:rsid w:val="2B4F8CA1"/>
    <w:rsid w:val="2B532C7F"/>
    <w:rsid w:val="2B8415E6"/>
    <w:rsid w:val="2BBD5F66"/>
    <w:rsid w:val="2BC57716"/>
    <w:rsid w:val="2BDA0230"/>
    <w:rsid w:val="2C4FAEB1"/>
    <w:rsid w:val="2C5B4591"/>
    <w:rsid w:val="2C5BE5E7"/>
    <w:rsid w:val="2C93D1B0"/>
    <w:rsid w:val="2CA19A1C"/>
    <w:rsid w:val="2CA6D697"/>
    <w:rsid w:val="2CADE510"/>
    <w:rsid w:val="2CEA809F"/>
    <w:rsid w:val="2CF22ADE"/>
    <w:rsid w:val="2D0007C6"/>
    <w:rsid w:val="2D12B672"/>
    <w:rsid w:val="2D15F42F"/>
    <w:rsid w:val="2D1A95C3"/>
    <w:rsid w:val="2D2B254B"/>
    <w:rsid w:val="2D3F5939"/>
    <w:rsid w:val="2D6BEC29"/>
    <w:rsid w:val="2D7FAC93"/>
    <w:rsid w:val="2DA79533"/>
    <w:rsid w:val="2DFD8577"/>
    <w:rsid w:val="2E08EAA3"/>
    <w:rsid w:val="2E2501EB"/>
    <w:rsid w:val="2E46241D"/>
    <w:rsid w:val="2E462E89"/>
    <w:rsid w:val="2E626D68"/>
    <w:rsid w:val="2E6A0922"/>
    <w:rsid w:val="2E7BCFCA"/>
    <w:rsid w:val="2E837F7B"/>
    <w:rsid w:val="2EA45ED4"/>
    <w:rsid w:val="2ED5458B"/>
    <w:rsid w:val="2EE15757"/>
    <w:rsid w:val="2EF8D2E2"/>
    <w:rsid w:val="2F10ABD7"/>
    <w:rsid w:val="2F4CC6C9"/>
    <w:rsid w:val="2F63540E"/>
    <w:rsid w:val="2F8B2E32"/>
    <w:rsid w:val="2F9D39A8"/>
    <w:rsid w:val="2FBC475B"/>
    <w:rsid w:val="2FC79F9C"/>
    <w:rsid w:val="30000458"/>
    <w:rsid w:val="3032F080"/>
    <w:rsid w:val="304E9CF3"/>
    <w:rsid w:val="3051E04F"/>
    <w:rsid w:val="30586EDD"/>
    <w:rsid w:val="306C8F49"/>
    <w:rsid w:val="308FA352"/>
    <w:rsid w:val="3097B0FC"/>
    <w:rsid w:val="30ACEDBF"/>
    <w:rsid w:val="30C4E95E"/>
    <w:rsid w:val="30CEA09C"/>
    <w:rsid w:val="30EC994D"/>
    <w:rsid w:val="30FCC4D0"/>
    <w:rsid w:val="310E7AE3"/>
    <w:rsid w:val="312E0BE4"/>
    <w:rsid w:val="3175887F"/>
    <w:rsid w:val="3189E8D8"/>
    <w:rsid w:val="319B6EB2"/>
    <w:rsid w:val="319F8714"/>
    <w:rsid w:val="31AF1114"/>
    <w:rsid w:val="31B62A4F"/>
    <w:rsid w:val="31EA2837"/>
    <w:rsid w:val="31F8E189"/>
    <w:rsid w:val="32193962"/>
    <w:rsid w:val="32195574"/>
    <w:rsid w:val="321D77C4"/>
    <w:rsid w:val="321E9A10"/>
    <w:rsid w:val="321F6CC8"/>
    <w:rsid w:val="323EA115"/>
    <w:rsid w:val="324EA96C"/>
    <w:rsid w:val="32571999"/>
    <w:rsid w:val="326F39C3"/>
    <w:rsid w:val="32844D08"/>
    <w:rsid w:val="328577B0"/>
    <w:rsid w:val="3292CFB8"/>
    <w:rsid w:val="32B82686"/>
    <w:rsid w:val="32BD478D"/>
    <w:rsid w:val="32C43710"/>
    <w:rsid w:val="32C43C45"/>
    <w:rsid w:val="32CDEF73"/>
    <w:rsid w:val="32CE9F25"/>
    <w:rsid w:val="32D7D293"/>
    <w:rsid w:val="32E77C19"/>
    <w:rsid w:val="32F1848F"/>
    <w:rsid w:val="32FDDEB4"/>
    <w:rsid w:val="3321B13C"/>
    <w:rsid w:val="33225AA2"/>
    <w:rsid w:val="3323D0B3"/>
    <w:rsid w:val="333AC99C"/>
    <w:rsid w:val="3347E5E4"/>
    <w:rsid w:val="33568E3A"/>
    <w:rsid w:val="336256C8"/>
    <w:rsid w:val="3370514F"/>
    <w:rsid w:val="3373693F"/>
    <w:rsid w:val="33766D52"/>
    <w:rsid w:val="337DF4A4"/>
    <w:rsid w:val="3385D151"/>
    <w:rsid w:val="339545ED"/>
    <w:rsid w:val="33BC471A"/>
    <w:rsid w:val="33CBC931"/>
    <w:rsid w:val="33CCF0BD"/>
    <w:rsid w:val="33E23AA7"/>
    <w:rsid w:val="33F2B1A9"/>
    <w:rsid w:val="33F9DF57"/>
    <w:rsid w:val="341A6C12"/>
    <w:rsid w:val="3423F73F"/>
    <w:rsid w:val="34324478"/>
    <w:rsid w:val="34379D48"/>
    <w:rsid w:val="3455BAF7"/>
    <w:rsid w:val="3455EF5F"/>
    <w:rsid w:val="3456AD69"/>
    <w:rsid w:val="34820F6C"/>
    <w:rsid w:val="348E01D5"/>
    <w:rsid w:val="34A33F40"/>
    <w:rsid w:val="34AAF06E"/>
    <w:rsid w:val="34D3D16A"/>
    <w:rsid w:val="34E24A51"/>
    <w:rsid w:val="34FA3BC7"/>
    <w:rsid w:val="34FAA4B4"/>
    <w:rsid w:val="3500C6B1"/>
    <w:rsid w:val="35088AC5"/>
    <w:rsid w:val="35240E87"/>
    <w:rsid w:val="352B86E1"/>
    <w:rsid w:val="3549CEAD"/>
    <w:rsid w:val="355A3BBF"/>
    <w:rsid w:val="355DF2D9"/>
    <w:rsid w:val="35618751"/>
    <w:rsid w:val="356BB38C"/>
    <w:rsid w:val="358F7B76"/>
    <w:rsid w:val="35A84621"/>
    <w:rsid w:val="35AB67C7"/>
    <w:rsid w:val="35B2FBC5"/>
    <w:rsid w:val="35BFA3C1"/>
    <w:rsid w:val="35C4632E"/>
    <w:rsid w:val="3608D401"/>
    <w:rsid w:val="362E0041"/>
    <w:rsid w:val="3659117E"/>
    <w:rsid w:val="366FC925"/>
    <w:rsid w:val="3677766A"/>
    <w:rsid w:val="36851025"/>
    <w:rsid w:val="36A5C933"/>
    <w:rsid w:val="36B65AD3"/>
    <w:rsid w:val="36B8148B"/>
    <w:rsid w:val="36C7D59D"/>
    <w:rsid w:val="36E94E52"/>
    <w:rsid w:val="36F5042D"/>
    <w:rsid w:val="370BA722"/>
    <w:rsid w:val="371564FC"/>
    <w:rsid w:val="3716012C"/>
    <w:rsid w:val="371FDAE6"/>
    <w:rsid w:val="372FC821"/>
    <w:rsid w:val="37581A43"/>
    <w:rsid w:val="375C4374"/>
    <w:rsid w:val="37632E48"/>
    <w:rsid w:val="3777BC8C"/>
    <w:rsid w:val="379ACD79"/>
    <w:rsid w:val="379B9D02"/>
    <w:rsid w:val="37B6EAF9"/>
    <w:rsid w:val="37C70932"/>
    <w:rsid w:val="37ECB168"/>
    <w:rsid w:val="37EE2A74"/>
    <w:rsid w:val="38043FA4"/>
    <w:rsid w:val="381901D3"/>
    <w:rsid w:val="382C33F5"/>
    <w:rsid w:val="3882751F"/>
    <w:rsid w:val="388CE77B"/>
    <w:rsid w:val="389CA78D"/>
    <w:rsid w:val="38A9269B"/>
    <w:rsid w:val="38CCE372"/>
    <w:rsid w:val="38D314FA"/>
    <w:rsid w:val="38D9E400"/>
    <w:rsid w:val="38E5F486"/>
    <w:rsid w:val="38EAA8DF"/>
    <w:rsid w:val="3906E41E"/>
    <w:rsid w:val="39B141A4"/>
    <w:rsid w:val="39B5FF2B"/>
    <w:rsid w:val="39BB11E9"/>
    <w:rsid w:val="39DAC479"/>
    <w:rsid w:val="3A188E06"/>
    <w:rsid w:val="3A3D101D"/>
    <w:rsid w:val="3A4E5032"/>
    <w:rsid w:val="3A5459BA"/>
    <w:rsid w:val="3A557067"/>
    <w:rsid w:val="3A57306E"/>
    <w:rsid w:val="3A5A6C9B"/>
    <w:rsid w:val="3A7F344B"/>
    <w:rsid w:val="3AA3BEB2"/>
    <w:rsid w:val="3AA3C1E6"/>
    <w:rsid w:val="3AB4D30B"/>
    <w:rsid w:val="3AC12CEB"/>
    <w:rsid w:val="3ACEECC0"/>
    <w:rsid w:val="3AE26969"/>
    <w:rsid w:val="3AE501C6"/>
    <w:rsid w:val="3AFA814A"/>
    <w:rsid w:val="3B037A5F"/>
    <w:rsid w:val="3B0D76FC"/>
    <w:rsid w:val="3B2A168D"/>
    <w:rsid w:val="3B40F705"/>
    <w:rsid w:val="3B43DE1C"/>
    <w:rsid w:val="3B5F81D4"/>
    <w:rsid w:val="3B81D159"/>
    <w:rsid w:val="3BD052B3"/>
    <w:rsid w:val="3BD73374"/>
    <w:rsid w:val="3C0502DE"/>
    <w:rsid w:val="3C11F78D"/>
    <w:rsid w:val="3C1F1A42"/>
    <w:rsid w:val="3C340753"/>
    <w:rsid w:val="3C5234F3"/>
    <w:rsid w:val="3C83EEC3"/>
    <w:rsid w:val="3C88E5E5"/>
    <w:rsid w:val="3C9878BA"/>
    <w:rsid w:val="3CD20124"/>
    <w:rsid w:val="3CE0C18E"/>
    <w:rsid w:val="3CEB49A8"/>
    <w:rsid w:val="3D14BB11"/>
    <w:rsid w:val="3D1B5D98"/>
    <w:rsid w:val="3D24B9F1"/>
    <w:rsid w:val="3D2989E4"/>
    <w:rsid w:val="3D2E00CB"/>
    <w:rsid w:val="3D357D12"/>
    <w:rsid w:val="3D3AD69D"/>
    <w:rsid w:val="3D463F39"/>
    <w:rsid w:val="3D4B8C58"/>
    <w:rsid w:val="3D543259"/>
    <w:rsid w:val="3D663997"/>
    <w:rsid w:val="3D77BA29"/>
    <w:rsid w:val="3DD252CB"/>
    <w:rsid w:val="3DE68707"/>
    <w:rsid w:val="3DEFC901"/>
    <w:rsid w:val="3DFCBBDA"/>
    <w:rsid w:val="3E192040"/>
    <w:rsid w:val="3E6A5DBF"/>
    <w:rsid w:val="3E712899"/>
    <w:rsid w:val="3E7AF605"/>
    <w:rsid w:val="3E81252C"/>
    <w:rsid w:val="3E843B0E"/>
    <w:rsid w:val="3E856AB1"/>
    <w:rsid w:val="3E886452"/>
    <w:rsid w:val="3E9504A8"/>
    <w:rsid w:val="3EC27EA3"/>
    <w:rsid w:val="3ECFC3B9"/>
    <w:rsid w:val="3ED5AD09"/>
    <w:rsid w:val="3ED71381"/>
    <w:rsid w:val="3EE1B26D"/>
    <w:rsid w:val="3F1CBB14"/>
    <w:rsid w:val="3F1E6F85"/>
    <w:rsid w:val="3F588B0B"/>
    <w:rsid w:val="3F8AA341"/>
    <w:rsid w:val="3FA483E6"/>
    <w:rsid w:val="3FA8E92B"/>
    <w:rsid w:val="3FAE7235"/>
    <w:rsid w:val="3FB1F67A"/>
    <w:rsid w:val="3FC8CF0B"/>
    <w:rsid w:val="3FE48955"/>
    <w:rsid w:val="3FEF4F77"/>
    <w:rsid w:val="3FF9E106"/>
    <w:rsid w:val="400C71A7"/>
    <w:rsid w:val="400FF69F"/>
    <w:rsid w:val="4038E1A5"/>
    <w:rsid w:val="403BB55A"/>
    <w:rsid w:val="40418AE2"/>
    <w:rsid w:val="4052921A"/>
    <w:rsid w:val="4053AA24"/>
    <w:rsid w:val="4068EDC3"/>
    <w:rsid w:val="409531B5"/>
    <w:rsid w:val="40A4FF6B"/>
    <w:rsid w:val="40A5834B"/>
    <w:rsid w:val="40D4F913"/>
    <w:rsid w:val="40DCDCD8"/>
    <w:rsid w:val="40E4D774"/>
    <w:rsid w:val="40FCE8BF"/>
    <w:rsid w:val="410C9C72"/>
    <w:rsid w:val="411CFB5B"/>
    <w:rsid w:val="411DCD23"/>
    <w:rsid w:val="41298CB4"/>
    <w:rsid w:val="41574FC4"/>
    <w:rsid w:val="417C823F"/>
    <w:rsid w:val="418EAF61"/>
    <w:rsid w:val="41952FA9"/>
    <w:rsid w:val="41B1D2F5"/>
    <w:rsid w:val="41CACAC6"/>
    <w:rsid w:val="41D06F69"/>
    <w:rsid w:val="41D19E92"/>
    <w:rsid w:val="41D19E92"/>
    <w:rsid w:val="41DDF25E"/>
    <w:rsid w:val="420764DF"/>
    <w:rsid w:val="4211F8F8"/>
    <w:rsid w:val="42437066"/>
    <w:rsid w:val="424A21E5"/>
    <w:rsid w:val="425E26C6"/>
    <w:rsid w:val="425FF466"/>
    <w:rsid w:val="4260E171"/>
    <w:rsid w:val="426C4C1E"/>
    <w:rsid w:val="427A9590"/>
    <w:rsid w:val="427BAF0E"/>
    <w:rsid w:val="42AF3CF7"/>
    <w:rsid w:val="42BF8892"/>
    <w:rsid w:val="42F374BB"/>
    <w:rsid w:val="431FF12B"/>
    <w:rsid w:val="43279E06"/>
    <w:rsid w:val="438CA75C"/>
    <w:rsid w:val="43BA2599"/>
    <w:rsid w:val="43CA59D9"/>
    <w:rsid w:val="43D674A2"/>
    <w:rsid w:val="43EECC17"/>
    <w:rsid w:val="43FF13D8"/>
    <w:rsid w:val="43FF9FC1"/>
    <w:rsid w:val="441AD611"/>
    <w:rsid w:val="44369273"/>
    <w:rsid w:val="447846E4"/>
    <w:rsid w:val="447858F2"/>
    <w:rsid w:val="4479ED30"/>
    <w:rsid w:val="447D5E17"/>
    <w:rsid w:val="4481E6D5"/>
    <w:rsid w:val="448462C7"/>
    <w:rsid w:val="4485EB22"/>
    <w:rsid w:val="44AE255A"/>
    <w:rsid w:val="44B34FED"/>
    <w:rsid w:val="44BEE814"/>
    <w:rsid w:val="44C88C68"/>
    <w:rsid w:val="44E3B5EB"/>
    <w:rsid w:val="44E8FEBF"/>
    <w:rsid w:val="44EDD68A"/>
    <w:rsid w:val="44EFCCA5"/>
    <w:rsid w:val="45171E37"/>
    <w:rsid w:val="453D4BC9"/>
    <w:rsid w:val="4566E665"/>
    <w:rsid w:val="457766BF"/>
    <w:rsid w:val="459A604F"/>
    <w:rsid w:val="459AA9B2"/>
    <w:rsid w:val="45A5EC2C"/>
    <w:rsid w:val="45DAE87E"/>
    <w:rsid w:val="45F665AB"/>
    <w:rsid w:val="4640A927"/>
    <w:rsid w:val="46450BB3"/>
    <w:rsid w:val="4655068B"/>
    <w:rsid w:val="4657C0B7"/>
    <w:rsid w:val="46A21A71"/>
    <w:rsid w:val="46A8955A"/>
    <w:rsid w:val="46A8E3A5"/>
    <w:rsid w:val="46DE82CD"/>
    <w:rsid w:val="46F4937C"/>
    <w:rsid w:val="47065E14"/>
    <w:rsid w:val="47232A10"/>
    <w:rsid w:val="4760EFD7"/>
    <w:rsid w:val="4769CA57"/>
    <w:rsid w:val="477DCE51"/>
    <w:rsid w:val="478B03E1"/>
    <w:rsid w:val="479F5328"/>
    <w:rsid w:val="47ACC1F3"/>
    <w:rsid w:val="48008C7B"/>
    <w:rsid w:val="4809E849"/>
    <w:rsid w:val="480A0728"/>
    <w:rsid w:val="480E6DD8"/>
    <w:rsid w:val="483955FE"/>
    <w:rsid w:val="484D633E"/>
    <w:rsid w:val="4855A218"/>
    <w:rsid w:val="486E4C97"/>
    <w:rsid w:val="48A0A6D4"/>
    <w:rsid w:val="48A852C2"/>
    <w:rsid w:val="48B31AE5"/>
    <w:rsid w:val="48C10D1C"/>
    <w:rsid w:val="48ECBC31"/>
    <w:rsid w:val="48EDA4E7"/>
    <w:rsid w:val="49122A20"/>
    <w:rsid w:val="492A8AA0"/>
    <w:rsid w:val="49504E69"/>
    <w:rsid w:val="495497CF"/>
    <w:rsid w:val="495A8741"/>
    <w:rsid w:val="495AE7AA"/>
    <w:rsid w:val="4986ED7F"/>
    <w:rsid w:val="4992170E"/>
    <w:rsid w:val="49B2E65C"/>
    <w:rsid w:val="49DEF5E5"/>
    <w:rsid w:val="49E0CB7B"/>
    <w:rsid w:val="49EB5272"/>
    <w:rsid w:val="49F32A7B"/>
    <w:rsid w:val="49FF3295"/>
    <w:rsid w:val="4A0DECA6"/>
    <w:rsid w:val="4A12EAE4"/>
    <w:rsid w:val="4A37AC96"/>
    <w:rsid w:val="4A5597AF"/>
    <w:rsid w:val="4A76FA5E"/>
    <w:rsid w:val="4AB12CF7"/>
    <w:rsid w:val="4AE35661"/>
    <w:rsid w:val="4AEF06A8"/>
    <w:rsid w:val="4AFE970D"/>
    <w:rsid w:val="4AFF18EE"/>
    <w:rsid w:val="4B187D8B"/>
    <w:rsid w:val="4B1C3732"/>
    <w:rsid w:val="4B35CDAE"/>
    <w:rsid w:val="4B361AE3"/>
    <w:rsid w:val="4B39C211"/>
    <w:rsid w:val="4B4546AC"/>
    <w:rsid w:val="4B488AF1"/>
    <w:rsid w:val="4B5D8CAD"/>
    <w:rsid w:val="4B71E930"/>
    <w:rsid w:val="4B8BEB71"/>
    <w:rsid w:val="4BCE2136"/>
    <w:rsid w:val="4BD74B34"/>
    <w:rsid w:val="4BFB3D63"/>
    <w:rsid w:val="4C33F631"/>
    <w:rsid w:val="4C3CE2CB"/>
    <w:rsid w:val="4C76431D"/>
    <w:rsid w:val="4C80CA49"/>
    <w:rsid w:val="4C9D97DE"/>
    <w:rsid w:val="4C9FD531"/>
    <w:rsid w:val="4CAF1C7A"/>
    <w:rsid w:val="4CBC67E5"/>
    <w:rsid w:val="4CD1BE6E"/>
    <w:rsid w:val="4CD9AEFE"/>
    <w:rsid w:val="4D071FF4"/>
    <w:rsid w:val="4D5A952F"/>
    <w:rsid w:val="4D782259"/>
    <w:rsid w:val="4D96A479"/>
    <w:rsid w:val="4D9B23E7"/>
    <w:rsid w:val="4DC99156"/>
    <w:rsid w:val="4DF39D07"/>
    <w:rsid w:val="4DFF4694"/>
    <w:rsid w:val="4E01A684"/>
    <w:rsid w:val="4E296C0C"/>
    <w:rsid w:val="4E37A7A5"/>
    <w:rsid w:val="4E3C79B3"/>
    <w:rsid w:val="4E4B96C2"/>
    <w:rsid w:val="4E61A4B0"/>
    <w:rsid w:val="4E76706E"/>
    <w:rsid w:val="4E77CAF5"/>
    <w:rsid w:val="4E8D4CDD"/>
    <w:rsid w:val="4E99B2C0"/>
    <w:rsid w:val="4EDAA554"/>
    <w:rsid w:val="4F069B71"/>
    <w:rsid w:val="4F196E97"/>
    <w:rsid w:val="4F405BDB"/>
    <w:rsid w:val="4F466FE7"/>
    <w:rsid w:val="4F4CBBA9"/>
    <w:rsid w:val="4F66DDBD"/>
    <w:rsid w:val="4F6A27DC"/>
    <w:rsid w:val="4F6C6049"/>
    <w:rsid w:val="4F7461FB"/>
    <w:rsid w:val="4F7AC830"/>
    <w:rsid w:val="4F8C9478"/>
    <w:rsid w:val="4F8DD106"/>
    <w:rsid w:val="4FA6F79F"/>
    <w:rsid w:val="4FAA99D8"/>
    <w:rsid w:val="4FABDCAE"/>
    <w:rsid w:val="50050EDD"/>
    <w:rsid w:val="5006510C"/>
    <w:rsid w:val="501690AE"/>
    <w:rsid w:val="5029B639"/>
    <w:rsid w:val="5037C0B1"/>
    <w:rsid w:val="50520B65"/>
    <w:rsid w:val="50811AF3"/>
    <w:rsid w:val="50973700"/>
    <w:rsid w:val="509803CF"/>
    <w:rsid w:val="50A751C2"/>
    <w:rsid w:val="50A857D2"/>
    <w:rsid w:val="50EA268F"/>
    <w:rsid w:val="50EFAD94"/>
    <w:rsid w:val="5111A85A"/>
    <w:rsid w:val="51247C17"/>
    <w:rsid w:val="512B6780"/>
    <w:rsid w:val="514AEF24"/>
    <w:rsid w:val="516F5043"/>
    <w:rsid w:val="51707889"/>
    <w:rsid w:val="51719B15"/>
    <w:rsid w:val="51727358"/>
    <w:rsid w:val="5176694A"/>
    <w:rsid w:val="5195E99F"/>
    <w:rsid w:val="51A8A4AE"/>
    <w:rsid w:val="51BC8F7C"/>
    <w:rsid w:val="51D8FEB9"/>
    <w:rsid w:val="51F1F81E"/>
    <w:rsid w:val="51FE1036"/>
    <w:rsid w:val="51FFA035"/>
    <w:rsid w:val="5246EB40"/>
    <w:rsid w:val="524D9FAD"/>
    <w:rsid w:val="526D9DD7"/>
    <w:rsid w:val="52C0EB78"/>
    <w:rsid w:val="5331A359"/>
    <w:rsid w:val="5359A58A"/>
    <w:rsid w:val="53695907"/>
    <w:rsid w:val="53705FB0"/>
    <w:rsid w:val="5371B0F8"/>
    <w:rsid w:val="538088C5"/>
    <w:rsid w:val="53C418C0"/>
    <w:rsid w:val="53C4FF87"/>
    <w:rsid w:val="53CEC416"/>
    <w:rsid w:val="53DF2A30"/>
    <w:rsid w:val="53E89FD0"/>
    <w:rsid w:val="53F7F73A"/>
    <w:rsid w:val="5409738B"/>
    <w:rsid w:val="54209924"/>
    <w:rsid w:val="54384985"/>
    <w:rsid w:val="543AB140"/>
    <w:rsid w:val="548AEE46"/>
    <w:rsid w:val="54948390"/>
    <w:rsid w:val="54A94852"/>
    <w:rsid w:val="54BDB827"/>
    <w:rsid w:val="54C22B16"/>
    <w:rsid w:val="54F87407"/>
    <w:rsid w:val="54FA6A75"/>
    <w:rsid w:val="54FFCC62"/>
    <w:rsid w:val="5506AD78"/>
    <w:rsid w:val="550F2CDE"/>
    <w:rsid w:val="55366C43"/>
    <w:rsid w:val="5537FFFC"/>
    <w:rsid w:val="553BDC83"/>
    <w:rsid w:val="554DDCBD"/>
    <w:rsid w:val="55614274"/>
    <w:rsid w:val="5581F36E"/>
    <w:rsid w:val="5596CEE8"/>
    <w:rsid w:val="55DC6BB2"/>
    <w:rsid w:val="55E7C696"/>
    <w:rsid w:val="5612DC29"/>
    <w:rsid w:val="563256F2"/>
    <w:rsid w:val="56384CDF"/>
    <w:rsid w:val="56461981"/>
    <w:rsid w:val="5661E8E9"/>
    <w:rsid w:val="56624914"/>
    <w:rsid w:val="56D2A851"/>
    <w:rsid w:val="56F604B6"/>
    <w:rsid w:val="571DD1F1"/>
    <w:rsid w:val="57262036"/>
    <w:rsid w:val="5764C7A9"/>
    <w:rsid w:val="5779497C"/>
    <w:rsid w:val="57B70760"/>
    <w:rsid w:val="57D15B15"/>
    <w:rsid w:val="57D64EDA"/>
    <w:rsid w:val="57E922E5"/>
    <w:rsid w:val="58578D83"/>
    <w:rsid w:val="587E26FA"/>
    <w:rsid w:val="5890F1EE"/>
    <w:rsid w:val="5897D57B"/>
    <w:rsid w:val="589DD16A"/>
    <w:rsid w:val="58CA86CE"/>
    <w:rsid w:val="58F92FE2"/>
    <w:rsid w:val="59027C1A"/>
    <w:rsid w:val="590C136E"/>
    <w:rsid w:val="590DF6E1"/>
    <w:rsid w:val="592DDC4B"/>
    <w:rsid w:val="5949DF4E"/>
    <w:rsid w:val="598140FB"/>
    <w:rsid w:val="5990548B"/>
    <w:rsid w:val="59933114"/>
    <w:rsid w:val="59974D1B"/>
    <w:rsid w:val="59983703"/>
    <w:rsid w:val="59A626A3"/>
    <w:rsid w:val="59F3CB4D"/>
    <w:rsid w:val="5A188078"/>
    <w:rsid w:val="5A3E4F86"/>
    <w:rsid w:val="5AA78103"/>
    <w:rsid w:val="5AB50F72"/>
    <w:rsid w:val="5AB827BB"/>
    <w:rsid w:val="5B09475E"/>
    <w:rsid w:val="5B144D65"/>
    <w:rsid w:val="5B506AF6"/>
    <w:rsid w:val="5B5761C3"/>
    <w:rsid w:val="5B6539C0"/>
    <w:rsid w:val="5B74CF69"/>
    <w:rsid w:val="5B877B78"/>
    <w:rsid w:val="5B944EBE"/>
    <w:rsid w:val="5BC43956"/>
    <w:rsid w:val="5C053561"/>
    <w:rsid w:val="5C337D63"/>
    <w:rsid w:val="5C569F87"/>
    <w:rsid w:val="5C6D45D5"/>
    <w:rsid w:val="5C86382F"/>
    <w:rsid w:val="5C97CAC1"/>
    <w:rsid w:val="5CBC23A4"/>
    <w:rsid w:val="5CBDD658"/>
    <w:rsid w:val="5CC7D873"/>
    <w:rsid w:val="5CD2AD77"/>
    <w:rsid w:val="5CE9EEC8"/>
    <w:rsid w:val="5CFB85DB"/>
    <w:rsid w:val="5D041E82"/>
    <w:rsid w:val="5D11FA43"/>
    <w:rsid w:val="5D15CEDC"/>
    <w:rsid w:val="5D37361B"/>
    <w:rsid w:val="5D54DABB"/>
    <w:rsid w:val="5D81C502"/>
    <w:rsid w:val="5DA4F418"/>
    <w:rsid w:val="5DB72F07"/>
    <w:rsid w:val="5DDF05CD"/>
    <w:rsid w:val="5DE05D31"/>
    <w:rsid w:val="5DE23390"/>
    <w:rsid w:val="5DE6487D"/>
    <w:rsid w:val="5DF66D1D"/>
    <w:rsid w:val="5DFED808"/>
    <w:rsid w:val="5E0E701F"/>
    <w:rsid w:val="5E92C459"/>
    <w:rsid w:val="5E93EEC4"/>
    <w:rsid w:val="5E97C951"/>
    <w:rsid w:val="5EA700F3"/>
    <w:rsid w:val="5EF27123"/>
    <w:rsid w:val="5EF7D5B6"/>
    <w:rsid w:val="5EFA2D19"/>
    <w:rsid w:val="5F0DB9B0"/>
    <w:rsid w:val="5F10D6A2"/>
    <w:rsid w:val="5F14E586"/>
    <w:rsid w:val="5F4989ED"/>
    <w:rsid w:val="5F628CEF"/>
    <w:rsid w:val="5F6BFAA8"/>
    <w:rsid w:val="5F736944"/>
    <w:rsid w:val="5F84D2F8"/>
    <w:rsid w:val="5F92F978"/>
    <w:rsid w:val="5FA97D5D"/>
    <w:rsid w:val="5FAE8788"/>
    <w:rsid w:val="5FAF76B5"/>
    <w:rsid w:val="5FB486AD"/>
    <w:rsid w:val="5FBB3E11"/>
    <w:rsid w:val="5FC14888"/>
    <w:rsid w:val="5FD48F00"/>
    <w:rsid w:val="5FD6AEA0"/>
    <w:rsid w:val="60251BC5"/>
    <w:rsid w:val="602C4485"/>
    <w:rsid w:val="603D4F7A"/>
    <w:rsid w:val="605984B2"/>
    <w:rsid w:val="6061C2C7"/>
    <w:rsid w:val="60759DF2"/>
    <w:rsid w:val="6093FDC6"/>
    <w:rsid w:val="6098E711"/>
    <w:rsid w:val="609B86F1"/>
    <w:rsid w:val="60C71557"/>
    <w:rsid w:val="60CAE36D"/>
    <w:rsid w:val="60F53D97"/>
    <w:rsid w:val="60FA94E5"/>
    <w:rsid w:val="611669FB"/>
    <w:rsid w:val="611CF866"/>
    <w:rsid w:val="613AB723"/>
    <w:rsid w:val="6146751C"/>
    <w:rsid w:val="614EFA3A"/>
    <w:rsid w:val="61520990"/>
    <w:rsid w:val="6153442F"/>
    <w:rsid w:val="616748BB"/>
    <w:rsid w:val="617A74F0"/>
    <w:rsid w:val="617AFEF5"/>
    <w:rsid w:val="618E21B8"/>
    <w:rsid w:val="619A750B"/>
    <w:rsid w:val="61A722C3"/>
    <w:rsid w:val="61A95D74"/>
    <w:rsid w:val="61F4BCD3"/>
    <w:rsid w:val="624027ED"/>
    <w:rsid w:val="6249C799"/>
    <w:rsid w:val="62629772"/>
    <w:rsid w:val="6263FD32"/>
    <w:rsid w:val="626CD827"/>
    <w:rsid w:val="627472C3"/>
    <w:rsid w:val="62A03A2F"/>
    <w:rsid w:val="62A92016"/>
    <w:rsid w:val="62AB6FD6"/>
    <w:rsid w:val="62D4FC51"/>
    <w:rsid w:val="62E17E2F"/>
    <w:rsid w:val="62F11FFA"/>
    <w:rsid w:val="63022C99"/>
    <w:rsid w:val="631EBF46"/>
    <w:rsid w:val="63263F52"/>
    <w:rsid w:val="632CDB51"/>
    <w:rsid w:val="632DC73A"/>
    <w:rsid w:val="6334A2A8"/>
    <w:rsid w:val="6367519E"/>
    <w:rsid w:val="637A70C2"/>
    <w:rsid w:val="63EC9684"/>
    <w:rsid w:val="63F1C8B4"/>
    <w:rsid w:val="63F27357"/>
    <w:rsid w:val="6416CE59"/>
    <w:rsid w:val="641BACCB"/>
    <w:rsid w:val="641C0A71"/>
    <w:rsid w:val="6447DD88"/>
    <w:rsid w:val="64504C6F"/>
    <w:rsid w:val="6457182F"/>
    <w:rsid w:val="6489234B"/>
    <w:rsid w:val="648D9B4D"/>
    <w:rsid w:val="649D1737"/>
    <w:rsid w:val="649DBB7B"/>
    <w:rsid w:val="64A56943"/>
    <w:rsid w:val="64ABA9B1"/>
    <w:rsid w:val="64AD1D54"/>
    <w:rsid w:val="64C5F28B"/>
    <w:rsid w:val="64FD54F1"/>
    <w:rsid w:val="65229C13"/>
    <w:rsid w:val="652CD066"/>
    <w:rsid w:val="6532B50E"/>
    <w:rsid w:val="653A483C"/>
    <w:rsid w:val="653CC139"/>
    <w:rsid w:val="6546F8C8"/>
    <w:rsid w:val="655EB455"/>
    <w:rsid w:val="65653FE3"/>
    <w:rsid w:val="659E2A7C"/>
    <w:rsid w:val="65B5D229"/>
    <w:rsid w:val="65CD3337"/>
    <w:rsid w:val="65D968F0"/>
    <w:rsid w:val="65EE00FC"/>
    <w:rsid w:val="65F674B2"/>
    <w:rsid w:val="6613B841"/>
    <w:rsid w:val="6637AC7E"/>
    <w:rsid w:val="664AB505"/>
    <w:rsid w:val="665314E2"/>
    <w:rsid w:val="6680CFA6"/>
    <w:rsid w:val="669869A0"/>
    <w:rsid w:val="66BD5E69"/>
    <w:rsid w:val="66BE8FD6"/>
    <w:rsid w:val="66D862A5"/>
    <w:rsid w:val="66DCFA76"/>
    <w:rsid w:val="66E1F039"/>
    <w:rsid w:val="670D5AE8"/>
    <w:rsid w:val="67200BFF"/>
    <w:rsid w:val="67230F2E"/>
    <w:rsid w:val="67241382"/>
    <w:rsid w:val="672F2667"/>
    <w:rsid w:val="6732946D"/>
    <w:rsid w:val="673559EA"/>
    <w:rsid w:val="6739E1C1"/>
    <w:rsid w:val="6746C487"/>
    <w:rsid w:val="6757D8C6"/>
    <w:rsid w:val="6757EE11"/>
    <w:rsid w:val="675C0643"/>
    <w:rsid w:val="6765C026"/>
    <w:rsid w:val="6767565B"/>
    <w:rsid w:val="676A00D9"/>
    <w:rsid w:val="676FC4A4"/>
    <w:rsid w:val="6778B8EF"/>
    <w:rsid w:val="677EFD87"/>
    <w:rsid w:val="679C4998"/>
    <w:rsid w:val="679D2F8A"/>
    <w:rsid w:val="67A77003"/>
    <w:rsid w:val="67D26F0C"/>
    <w:rsid w:val="67D9CFCD"/>
    <w:rsid w:val="67DF1EC7"/>
    <w:rsid w:val="67F1D278"/>
    <w:rsid w:val="67FBDDA2"/>
    <w:rsid w:val="68094A76"/>
    <w:rsid w:val="684C9761"/>
    <w:rsid w:val="6870CA06"/>
    <w:rsid w:val="6899D4A4"/>
    <w:rsid w:val="689B4B27"/>
    <w:rsid w:val="689C5F73"/>
    <w:rsid w:val="68B71D57"/>
    <w:rsid w:val="68C4D9B4"/>
    <w:rsid w:val="68D8CCBB"/>
    <w:rsid w:val="68F3A9DC"/>
    <w:rsid w:val="6908AE1C"/>
    <w:rsid w:val="690D9DE4"/>
    <w:rsid w:val="691BD6A5"/>
    <w:rsid w:val="69267486"/>
    <w:rsid w:val="69381361"/>
    <w:rsid w:val="6947B272"/>
    <w:rsid w:val="69626B79"/>
    <w:rsid w:val="699401FD"/>
    <w:rsid w:val="69951B03"/>
    <w:rsid w:val="699F57E8"/>
    <w:rsid w:val="69B2C252"/>
    <w:rsid w:val="69CEDB3B"/>
    <w:rsid w:val="69CF60D0"/>
    <w:rsid w:val="69D8DE7C"/>
    <w:rsid w:val="69ECE3F9"/>
    <w:rsid w:val="69EF54DE"/>
    <w:rsid w:val="6A01947B"/>
    <w:rsid w:val="6A182317"/>
    <w:rsid w:val="6A2021A4"/>
    <w:rsid w:val="6A2DD36A"/>
    <w:rsid w:val="6A331E42"/>
    <w:rsid w:val="6A596492"/>
    <w:rsid w:val="6AA4216B"/>
    <w:rsid w:val="6AD3044D"/>
    <w:rsid w:val="6B0281CB"/>
    <w:rsid w:val="6B098DD9"/>
    <w:rsid w:val="6B0E023C"/>
    <w:rsid w:val="6B1CAD01"/>
    <w:rsid w:val="6B1CFFBC"/>
    <w:rsid w:val="6B272F3C"/>
    <w:rsid w:val="6B53AFD1"/>
    <w:rsid w:val="6B617629"/>
    <w:rsid w:val="6B7175F8"/>
    <w:rsid w:val="6B7E7C38"/>
    <w:rsid w:val="6B85B42E"/>
    <w:rsid w:val="6B9D1E3D"/>
    <w:rsid w:val="6BACBE5E"/>
    <w:rsid w:val="6BAD628B"/>
    <w:rsid w:val="6BB4ABDA"/>
    <w:rsid w:val="6BF74023"/>
    <w:rsid w:val="6BFA919A"/>
    <w:rsid w:val="6C0F08BE"/>
    <w:rsid w:val="6C117E5B"/>
    <w:rsid w:val="6C243E59"/>
    <w:rsid w:val="6C285299"/>
    <w:rsid w:val="6C2A9D45"/>
    <w:rsid w:val="6C38C455"/>
    <w:rsid w:val="6C50CBAD"/>
    <w:rsid w:val="6C53C31D"/>
    <w:rsid w:val="6C875FEB"/>
    <w:rsid w:val="6CB1F861"/>
    <w:rsid w:val="6CC1F3C8"/>
    <w:rsid w:val="6CDAF9CE"/>
    <w:rsid w:val="6CFC268E"/>
    <w:rsid w:val="6D086CED"/>
    <w:rsid w:val="6D1E2590"/>
    <w:rsid w:val="6D50F503"/>
    <w:rsid w:val="6D72EA5D"/>
    <w:rsid w:val="6D834708"/>
    <w:rsid w:val="6D8E467D"/>
    <w:rsid w:val="6DC7758F"/>
    <w:rsid w:val="6DD6257C"/>
    <w:rsid w:val="6DE2391A"/>
    <w:rsid w:val="6DE2AC83"/>
    <w:rsid w:val="6E11AE5A"/>
    <w:rsid w:val="6E18A542"/>
    <w:rsid w:val="6E2FDA8A"/>
    <w:rsid w:val="6E3B525A"/>
    <w:rsid w:val="6E674C0D"/>
    <w:rsid w:val="6E73E76A"/>
    <w:rsid w:val="6E7C7035"/>
    <w:rsid w:val="6E88EE95"/>
    <w:rsid w:val="6EAA5725"/>
    <w:rsid w:val="6EE47420"/>
    <w:rsid w:val="6EFF6945"/>
    <w:rsid w:val="6F196F79"/>
    <w:rsid w:val="6F34C228"/>
    <w:rsid w:val="6F35DEAE"/>
    <w:rsid w:val="6F3A5FC5"/>
    <w:rsid w:val="6F88359E"/>
    <w:rsid w:val="6F98897D"/>
    <w:rsid w:val="6FA465F9"/>
    <w:rsid w:val="6FA618A3"/>
    <w:rsid w:val="6FD301E2"/>
    <w:rsid w:val="6FE09A6C"/>
    <w:rsid w:val="6FF17E8F"/>
    <w:rsid w:val="70024F46"/>
    <w:rsid w:val="702E1D67"/>
    <w:rsid w:val="70308816"/>
    <w:rsid w:val="703CD2AD"/>
    <w:rsid w:val="7044119E"/>
    <w:rsid w:val="70497B73"/>
    <w:rsid w:val="704C43B2"/>
    <w:rsid w:val="705A171B"/>
    <w:rsid w:val="706AE364"/>
    <w:rsid w:val="707C0669"/>
    <w:rsid w:val="70A70B0D"/>
    <w:rsid w:val="70B19118"/>
    <w:rsid w:val="70B8D230"/>
    <w:rsid w:val="70C66B11"/>
    <w:rsid w:val="70F17A86"/>
    <w:rsid w:val="70FB11F8"/>
    <w:rsid w:val="71145355"/>
    <w:rsid w:val="7133CE1D"/>
    <w:rsid w:val="713778F3"/>
    <w:rsid w:val="7146F840"/>
    <w:rsid w:val="714E914C"/>
    <w:rsid w:val="715A94FA"/>
    <w:rsid w:val="715C87AC"/>
    <w:rsid w:val="7173E619"/>
    <w:rsid w:val="71B55768"/>
    <w:rsid w:val="71CDC9BE"/>
    <w:rsid w:val="71D588D4"/>
    <w:rsid w:val="71DBB0C1"/>
    <w:rsid w:val="71EFBA49"/>
    <w:rsid w:val="71F7CD17"/>
    <w:rsid w:val="7236A03A"/>
    <w:rsid w:val="7237B5D3"/>
    <w:rsid w:val="724FA3C7"/>
    <w:rsid w:val="7269793E"/>
    <w:rsid w:val="727D1AE6"/>
    <w:rsid w:val="7280DED7"/>
    <w:rsid w:val="72880A8B"/>
    <w:rsid w:val="7288C633"/>
    <w:rsid w:val="72A33B50"/>
    <w:rsid w:val="72C6D7E4"/>
    <w:rsid w:val="7302B52F"/>
    <w:rsid w:val="73069A42"/>
    <w:rsid w:val="7306EFF2"/>
    <w:rsid w:val="7309F1B7"/>
    <w:rsid w:val="732BC6A0"/>
    <w:rsid w:val="732D0156"/>
    <w:rsid w:val="73323E2A"/>
    <w:rsid w:val="734D49AF"/>
    <w:rsid w:val="7357936F"/>
    <w:rsid w:val="73606EFC"/>
    <w:rsid w:val="7378793E"/>
    <w:rsid w:val="73B60926"/>
    <w:rsid w:val="73F0365E"/>
    <w:rsid w:val="73FED1DD"/>
    <w:rsid w:val="74387902"/>
    <w:rsid w:val="7448E820"/>
    <w:rsid w:val="744D253F"/>
    <w:rsid w:val="745B8CAF"/>
    <w:rsid w:val="745DA7B4"/>
    <w:rsid w:val="745EAB3D"/>
    <w:rsid w:val="7464B70A"/>
    <w:rsid w:val="7466BA86"/>
    <w:rsid w:val="746F8B2C"/>
    <w:rsid w:val="746FF7FD"/>
    <w:rsid w:val="74883782"/>
    <w:rsid w:val="749B113B"/>
    <w:rsid w:val="74D627C9"/>
    <w:rsid w:val="74D8DBB6"/>
    <w:rsid w:val="74DB834F"/>
    <w:rsid w:val="74DF8B1E"/>
    <w:rsid w:val="74F61B0B"/>
    <w:rsid w:val="74FA0EF0"/>
    <w:rsid w:val="75090E01"/>
    <w:rsid w:val="750DB6B1"/>
    <w:rsid w:val="7545AE8E"/>
    <w:rsid w:val="75553A6A"/>
    <w:rsid w:val="755C963D"/>
    <w:rsid w:val="7577B7B8"/>
    <w:rsid w:val="759545F9"/>
    <w:rsid w:val="75989948"/>
    <w:rsid w:val="75B9E2B7"/>
    <w:rsid w:val="75C8DB2F"/>
    <w:rsid w:val="75D4E45D"/>
    <w:rsid w:val="75DE589D"/>
    <w:rsid w:val="761BC34F"/>
    <w:rsid w:val="761EB4D1"/>
    <w:rsid w:val="76241B76"/>
    <w:rsid w:val="762614BF"/>
    <w:rsid w:val="76326E3E"/>
    <w:rsid w:val="7636BB43"/>
    <w:rsid w:val="7646636E"/>
    <w:rsid w:val="765020EA"/>
    <w:rsid w:val="76549F06"/>
    <w:rsid w:val="765FD95E"/>
    <w:rsid w:val="767A7A7E"/>
    <w:rsid w:val="76DA1219"/>
    <w:rsid w:val="76DFAEA4"/>
    <w:rsid w:val="770314BF"/>
    <w:rsid w:val="7712CD67"/>
    <w:rsid w:val="771685AF"/>
    <w:rsid w:val="77289A4E"/>
    <w:rsid w:val="772AC918"/>
    <w:rsid w:val="774D0450"/>
    <w:rsid w:val="775CB844"/>
    <w:rsid w:val="775CFE39"/>
    <w:rsid w:val="77613F09"/>
    <w:rsid w:val="7773169A"/>
    <w:rsid w:val="77BDBAC1"/>
    <w:rsid w:val="7819193D"/>
    <w:rsid w:val="78199B0B"/>
    <w:rsid w:val="782DFE42"/>
    <w:rsid w:val="7849455B"/>
    <w:rsid w:val="78833D5E"/>
    <w:rsid w:val="78B354FA"/>
    <w:rsid w:val="78C3EE93"/>
    <w:rsid w:val="78CE3551"/>
    <w:rsid w:val="78EF824D"/>
    <w:rsid w:val="78EFD384"/>
    <w:rsid w:val="78F9A471"/>
    <w:rsid w:val="7900B83D"/>
    <w:rsid w:val="7902658C"/>
    <w:rsid w:val="7909D7E8"/>
    <w:rsid w:val="7923156A"/>
    <w:rsid w:val="792CEF67"/>
    <w:rsid w:val="794BC0B2"/>
    <w:rsid w:val="79606A59"/>
    <w:rsid w:val="797A85AB"/>
    <w:rsid w:val="7980514A"/>
    <w:rsid w:val="79E15471"/>
    <w:rsid w:val="7A026E29"/>
    <w:rsid w:val="7A103854"/>
    <w:rsid w:val="7A30E45E"/>
    <w:rsid w:val="7A39EE03"/>
    <w:rsid w:val="7A579367"/>
    <w:rsid w:val="7A674CF3"/>
    <w:rsid w:val="7A6C1F57"/>
    <w:rsid w:val="7A7466BC"/>
    <w:rsid w:val="7A78CCF2"/>
    <w:rsid w:val="7A88CD73"/>
    <w:rsid w:val="7A9F01D0"/>
    <w:rsid w:val="7AEAE14C"/>
    <w:rsid w:val="7AF3CDFA"/>
    <w:rsid w:val="7AF7E5DE"/>
    <w:rsid w:val="7B2A9C23"/>
    <w:rsid w:val="7B2AF555"/>
    <w:rsid w:val="7B47ACF0"/>
    <w:rsid w:val="7B6C8CDA"/>
    <w:rsid w:val="7B89574C"/>
    <w:rsid w:val="7BB12289"/>
    <w:rsid w:val="7BECE543"/>
    <w:rsid w:val="7C39BC80"/>
    <w:rsid w:val="7C4FB8B7"/>
    <w:rsid w:val="7C6342D5"/>
    <w:rsid w:val="7C75DB65"/>
    <w:rsid w:val="7C8CD8E9"/>
    <w:rsid w:val="7C906EAA"/>
    <w:rsid w:val="7CB72273"/>
    <w:rsid w:val="7CD6ACA0"/>
    <w:rsid w:val="7CD8F8DE"/>
    <w:rsid w:val="7CE038D1"/>
    <w:rsid w:val="7CE3D59C"/>
    <w:rsid w:val="7CE91048"/>
    <w:rsid w:val="7CEB0DCC"/>
    <w:rsid w:val="7CF62B19"/>
    <w:rsid w:val="7D082516"/>
    <w:rsid w:val="7D1963E8"/>
    <w:rsid w:val="7D29204B"/>
    <w:rsid w:val="7D673EA7"/>
    <w:rsid w:val="7D70ACB3"/>
    <w:rsid w:val="7D87974E"/>
    <w:rsid w:val="7D8AA453"/>
    <w:rsid w:val="7D8AF3FF"/>
    <w:rsid w:val="7D913A85"/>
    <w:rsid w:val="7D97F985"/>
    <w:rsid w:val="7DB3DD6D"/>
    <w:rsid w:val="7DBD15DC"/>
    <w:rsid w:val="7DBE906C"/>
    <w:rsid w:val="7DD26E75"/>
    <w:rsid w:val="7DF0EA6E"/>
    <w:rsid w:val="7DFB4542"/>
    <w:rsid w:val="7E0C9F5F"/>
    <w:rsid w:val="7E3D3A66"/>
    <w:rsid w:val="7E5574DF"/>
    <w:rsid w:val="7E6253CC"/>
    <w:rsid w:val="7E648680"/>
    <w:rsid w:val="7E6818AE"/>
    <w:rsid w:val="7E7F2C90"/>
    <w:rsid w:val="7E8BF0B3"/>
    <w:rsid w:val="7EC05F42"/>
    <w:rsid w:val="7EC32467"/>
    <w:rsid w:val="7ECC413F"/>
    <w:rsid w:val="7EF52BD6"/>
    <w:rsid w:val="7F06704A"/>
    <w:rsid w:val="7F0EAC0C"/>
    <w:rsid w:val="7F273606"/>
    <w:rsid w:val="7F6FC4BD"/>
    <w:rsid w:val="7F7C5A11"/>
    <w:rsid w:val="7F8ADD2B"/>
    <w:rsid w:val="7FAC34A5"/>
    <w:rsid w:val="7FC484F8"/>
    <w:rsid w:val="7FCFF5BD"/>
    <w:rsid w:val="7FEE1799"/>
    <w:rsid w:val="7FF2EC4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931EB2"/>
  <w15:chartTrackingRefBased/>
  <w15:docId w15:val="{738915F4-5A5F-4022-ABFA-875BD8C4BF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hAnsiTheme="minorHAnsi" w:eastAsia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character" w:styleId="Refdecomentario">
    <w:name w:val="annotation reference"/>
    <w:basedOn w:val="Fuentedeprrafopredeter"/>
    <w:uiPriority w:val="99"/>
    <w:semiHidden/>
    <w:unhideWhenUsed/>
    <w:rsid w:val="004156D1"/>
    <w:rPr>
      <w:sz w:val="16"/>
      <w:szCs w:val="16"/>
    </w:rPr>
  </w:style>
  <w:style w:type="paragraph" w:styleId="Textocomentario">
    <w:name w:val="annotation text"/>
    <w:basedOn w:val="Normal"/>
    <w:link w:val="TextocomentarioCar"/>
    <w:uiPriority w:val="99"/>
    <w:semiHidden/>
    <w:unhideWhenUsed/>
    <w:rsid w:val="004156D1"/>
    <w:pPr>
      <w:spacing w:line="240" w:lineRule="auto"/>
    </w:pPr>
    <w:rPr>
      <w:sz w:val="20"/>
      <w:szCs w:val="20"/>
    </w:rPr>
  </w:style>
  <w:style w:type="character" w:styleId="TextocomentarioCar" w:customStyle="1">
    <w:name w:val="Texto comentario Car"/>
    <w:basedOn w:val="Fuentedeprrafopredeter"/>
    <w:link w:val="Textocomentario"/>
    <w:uiPriority w:val="99"/>
    <w:semiHidden/>
    <w:rsid w:val="004156D1"/>
    <w:rPr>
      <w:sz w:val="20"/>
      <w:szCs w:val="20"/>
    </w:rPr>
  </w:style>
  <w:style w:type="paragraph" w:styleId="Asuntodelcomentario">
    <w:name w:val="annotation subject"/>
    <w:basedOn w:val="Textocomentario"/>
    <w:next w:val="Textocomentario"/>
    <w:link w:val="AsuntodelcomentarioCar"/>
    <w:uiPriority w:val="99"/>
    <w:semiHidden/>
    <w:unhideWhenUsed/>
    <w:rsid w:val="004156D1"/>
    <w:rPr>
      <w:b/>
      <w:bCs/>
    </w:rPr>
  </w:style>
  <w:style w:type="character" w:styleId="AsuntodelcomentarioCar" w:customStyle="1">
    <w:name w:val="Asunto del comentario Car"/>
    <w:basedOn w:val="TextocomentarioCar"/>
    <w:link w:val="Asuntodelcomentario"/>
    <w:uiPriority w:val="99"/>
    <w:semiHidden/>
    <w:rsid w:val="004156D1"/>
    <w:rPr>
      <w:b/>
      <w:bCs/>
      <w:sz w:val="20"/>
      <w:szCs w:val="20"/>
    </w:rPr>
  </w:style>
  <w:style w:type="paragraph" w:styleId="Textodeglobo">
    <w:name w:val="Balloon Text"/>
    <w:basedOn w:val="Normal"/>
    <w:link w:val="TextodegloboCar"/>
    <w:uiPriority w:val="99"/>
    <w:semiHidden/>
    <w:unhideWhenUsed/>
    <w:rsid w:val="004156D1"/>
    <w:pPr>
      <w:spacing w:after="0" w:line="240" w:lineRule="auto"/>
    </w:pPr>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4156D1"/>
    <w:rPr>
      <w:rFonts w:ascii="Segoe UI" w:hAnsi="Segoe UI" w:cs="Segoe UI"/>
      <w:sz w:val="18"/>
      <w:szCs w:val="18"/>
    </w:rPr>
  </w:style>
  <w:style w:type="character" w:styleId="Hipervnculo">
    <w:name w:val="Hyperlink"/>
    <w:basedOn w:val="Fuentedeprrafopredeter"/>
    <w:uiPriority w:val="99"/>
    <w:unhideWhenUsed/>
    <w:rsid w:val="009C6E9E"/>
    <w:rPr>
      <w:color w:val="0563C1" w:themeColor="hyperlink"/>
      <w:u w:val="single"/>
    </w:rPr>
  </w:style>
  <w:style w:type="paragraph" w:styleId="Prrafodelista">
    <w:name w:val="List Paragraph"/>
    <w:basedOn w:val="Normal"/>
    <w:uiPriority w:val="34"/>
    <w:qFormat/>
    <w:rsid w:val="00293ACC"/>
    <w:pPr>
      <w:ind w:left="720"/>
      <w:contextualSpacing/>
    </w:pPr>
  </w:style>
  <w:style w:type="character" w:styleId="Hipervnculovisitado">
    <w:name w:val="FollowedHyperlink"/>
    <w:basedOn w:val="Fuentedeprrafopredeter"/>
    <w:uiPriority w:val="99"/>
    <w:semiHidden/>
    <w:unhideWhenUsed/>
    <w:rsid w:val="00725F70"/>
    <w:rPr>
      <w:color w:val="954F72" w:themeColor="followedHyperlink"/>
      <w:u w:val="single"/>
    </w:rPr>
  </w:style>
  <w:style xmlns:w="http://schemas.openxmlformats.org/wordprocessingml/2006/main" w:type="table" w:styleId="TableGrid">
    <w:name xmlns:w="http://schemas.openxmlformats.org/wordprocessingml/2006/main" w:val="Table Grid"/>
    <w:basedOn xmlns:w="http://schemas.openxmlformats.org/wordprocessingml/2006/main" w:val="Tablanormal"/>
    <w:uiPriority xmlns:w="http://schemas.openxmlformats.org/wordprocessingml/2006/main" w:val="59"/>
    <w:rsid xmlns:w="http://schemas.openxmlformats.org/wordprocessingml/2006/main" w:val="00FB4123"/>
    <w:pPr xmlns:w="http://schemas.openxmlformats.org/wordprocessingml/2006/main">
      <w:spacing w:after="0" w:line="240" w:lineRule="auto"/>
    </w:pPr>
    <w:tblPr xmlns:w="http://schemas.openxmlformats.org/wordprocessingml/2006/main">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760505">
      <w:bodyDiv w:val="1"/>
      <w:marLeft w:val="0"/>
      <w:marRight w:val="0"/>
      <w:marTop w:val="0"/>
      <w:marBottom w:val="0"/>
      <w:divBdr>
        <w:top w:val="none" w:sz="0" w:space="0" w:color="auto"/>
        <w:left w:val="none" w:sz="0" w:space="0" w:color="auto"/>
        <w:bottom w:val="none" w:sz="0" w:space="0" w:color="auto"/>
        <w:right w:val="none" w:sz="0" w:space="0" w:color="auto"/>
      </w:divBdr>
    </w:div>
    <w:div w:id="470098419">
      <w:bodyDiv w:val="1"/>
      <w:marLeft w:val="0"/>
      <w:marRight w:val="0"/>
      <w:marTop w:val="0"/>
      <w:marBottom w:val="0"/>
      <w:divBdr>
        <w:top w:val="none" w:sz="0" w:space="0" w:color="auto"/>
        <w:left w:val="none" w:sz="0" w:space="0" w:color="auto"/>
        <w:bottom w:val="none" w:sz="0" w:space="0" w:color="auto"/>
        <w:right w:val="none" w:sz="0" w:space="0" w:color="auto"/>
      </w:divBdr>
    </w:div>
    <w:div w:id="860170489">
      <w:bodyDiv w:val="1"/>
      <w:marLeft w:val="0"/>
      <w:marRight w:val="0"/>
      <w:marTop w:val="0"/>
      <w:marBottom w:val="0"/>
      <w:divBdr>
        <w:top w:val="none" w:sz="0" w:space="0" w:color="auto"/>
        <w:left w:val="none" w:sz="0" w:space="0" w:color="auto"/>
        <w:bottom w:val="none" w:sz="0" w:space="0" w:color="auto"/>
        <w:right w:val="none" w:sz="0" w:space="0" w:color="auto"/>
      </w:divBdr>
    </w:div>
    <w:div w:id="874805867">
      <w:bodyDiv w:val="1"/>
      <w:marLeft w:val="0"/>
      <w:marRight w:val="0"/>
      <w:marTop w:val="0"/>
      <w:marBottom w:val="0"/>
      <w:divBdr>
        <w:top w:val="none" w:sz="0" w:space="0" w:color="auto"/>
        <w:left w:val="none" w:sz="0" w:space="0" w:color="auto"/>
        <w:bottom w:val="none" w:sz="0" w:space="0" w:color="auto"/>
        <w:right w:val="none" w:sz="0" w:space="0" w:color="auto"/>
      </w:divBdr>
    </w:div>
    <w:div w:id="906526092">
      <w:bodyDiv w:val="1"/>
      <w:marLeft w:val="0"/>
      <w:marRight w:val="0"/>
      <w:marTop w:val="0"/>
      <w:marBottom w:val="0"/>
      <w:divBdr>
        <w:top w:val="none" w:sz="0" w:space="0" w:color="auto"/>
        <w:left w:val="none" w:sz="0" w:space="0" w:color="auto"/>
        <w:bottom w:val="none" w:sz="0" w:space="0" w:color="auto"/>
        <w:right w:val="none" w:sz="0" w:space="0" w:color="auto"/>
      </w:divBdr>
    </w:div>
    <w:div w:id="1011444494">
      <w:bodyDiv w:val="1"/>
      <w:marLeft w:val="0"/>
      <w:marRight w:val="0"/>
      <w:marTop w:val="0"/>
      <w:marBottom w:val="0"/>
      <w:divBdr>
        <w:top w:val="none" w:sz="0" w:space="0" w:color="auto"/>
        <w:left w:val="none" w:sz="0" w:space="0" w:color="auto"/>
        <w:bottom w:val="none" w:sz="0" w:space="0" w:color="auto"/>
        <w:right w:val="none" w:sz="0" w:space="0" w:color="auto"/>
      </w:divBdr>
    </w:div>
    <w:div w:id="1119447180">
      <w:bodyDiv w:val="1"/>
      <w:marLeft w:val="0"/>
      <w:marRight w:val="0"/>
      <w:marTop w:val="0"/>
      <w:marBottom w:val="0"/>
      <w:divBdr>
        <w:top w:val="none" w:sz="0" w:space="0" w:color="auto"/>
        <w:left w:val="none" w:sz="0" w:space="0" w:color="auto"/>
        <w:bottom w:val="none" w:sz="0" w:space="0" w:color="auto"/>
        <w:right w:val="none" w:sz="0" w:space="0" w:color="auto"/>
      </w:divBdr>
    </w:div>
    <w:div w:id="1335493273">
      <w:bodyDiv w:val="1"/>
      <w:marLeft w:val="0"/>
      <w:marRight w:val="0"/>
      <w:marTop w:val="0"/>
      <w:marBottom w:val="0"/>
      <w:divBdr>
        <w:top w:val="none" w:sz="0" w:space="0" w:color="auto"/>
        <w:left w:val="none" w:sz="0" w:space="0" w:color="auto"/>
        <w:bottom w:val="none" w:sz="0" w:space="0" w:color="auto"/>
        <w:right w:val="none" w:sz="0" w:space="0" w:color="auto"/>
      </w:divBdr>
    </w:div>
    <w:div w:id="1723482612">
      <w:bodyDiv w:val="1"/>
      <w:marLeft w:val="0"/>
      <w:marRight w:val="0"/>
      <w:marTop w:val="0"/>
      <w:marBottom w:val="0"/>
      <w:divBdr>
        <w:top w:val="none" w:sz="0" w:space="0" w:color="auto"/>
        <w:left w:val="none" w:sz="0" w:space="0" w:color="auto"/>
        <w:bottom w:val="none" w:sz="0" w:space="0" w:color="auto"/>
        <w:right w:val="none" w:sz="0" w:space="0" w:color="auto"/>
      </w:divBdr>
    </w:div>
    <w:div w:id="1726875216">
      <w:bodyDiv w:val="1"/>
      <w:marLeft w:val="0"/>
      <w:marRight w:val="0"/>
      <w:marTop w:val="0"/>
      <w:marBottom w:val="0"/>
      <w:divBdr>
        <w:top w:val="none" w:sz="0" w:space="0" w:color="auto"/>
        <w:left w:val="none" w:sz="0" w:space="0" w:color="auto"/>
        <w:bottom w:val="none" w:sz="0" w:space="0" w:color="auto"/>
        <w:right w:val="none" w:sz="0" w:space="0" w:color="auto"/>
      </w:divBdr>
    </w:div>
    <w:div w:id="2001078341">
      <w:bodyDiv w:val="1"/>
      <w:marLeft w:val="0"/>
      <w:marRight w:val="0"/>
      <w:marTop w:val="0"/>
      <w:marBottom w:val="0"/>
      <w:divBdr>
        <w:top w:val="none" w:sz="0" w:space="0" w:color="auto"/>
        <w:left w:val="none" w:sz="0" w:space="0" w:color="auto"/>
        <w:bottom w:val="none" w:sz="0" w:space="0" w:color="auto"/>
        <w:right w:val="none" w:sz="0" w:space="0" w:color="auto"/>
      </w:divBdr>
    </w:div>
    <w:div w:id="2021158093">
      <w:bodyDiv w:val="1"/>
      <w:marLeft w:val="0"/>
      <w:marRight w:val="0"/>
      <w:marTop w:val="0"/>
      <w:marBottom w:val="0"/>
      <w:divBdr>
        <w:top w:val="none" w:sz="0" w:space="0" w:color="auto"/>
        <w:left w:val="none" w:sz="0" w:space="0" w:color="auto"/>
        <w:bottom w:val="none" w:sz="0" w:space="0" w:color="auto"/>
        <w:right w:val="none" w:sz="0" w:space="0" w:color="auto"/>
      </w:divBdr>
    </w:div>
    <w:div w:id="2111315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microsoft.com/office/2011/relationships/people" Target="people.xml" Id="rId13" /><Relationship Type="http://schemas.openxmlformats.org/officeDocument/2006/relationships/customXml" Target="../customXml/item4.xml" Id="rId18" /><Relationship Type="http://schemas.openxmlformats.org/officeDocument/2006/relationships/styles" Target="styles.xml" Id="rId3" /><Relationship Type="http://schemas.microsoft.com/office/2011/relationships/commentsExtended" Target="commentsExtended.xml" Id="rId7" /><Relationship Type="http://schemas.openxmlformats.org/officeDocument/2006/relationships/fontTable" Target="fontTable.xml" Id="rId12" /><Relationship Type="http://schemas.openxmlformats.org/officeDocument/2006/relationships/customXml" Target="../customXml/item3.xml" Id="rId17" /><Relationship Type="http://schemas.openxmlformats.org/officeDocument/2006/relationships/numbering" Target="numbering.xml" Id="rId2" /><Relationship Type="http://schemas.openxmlformats.org/officeDocument/2006/relationships/customXml" Target="../customXml/item2.xml" Id="rId16" /><Relationship Type="http://schemas.openxmlformats.org/officeDocument/2006/relationships/customXml" Target="../customXml/item1.xml" Id="rId1" /><Relationship Type="http://schemas.openxmlformats.org/officeDocument/2006/relationships/webSettings" Target="webSettings.xml" Id="rId5" /><Relationship Type="http://schemas.microsoft.com/office/2016/09/relationships/commentsIds" Target="commentsIds.xml" Id="rId15" /><Relationship Type="http://schemas.openxmlformats.org/officeDocument/2006/relationships/settings" Target="settings.xml" Id="rId4" /><Relationship Type="http://schemas.openxmlformats.org/officeDocument/2006/relationships/theme" Target="theme/theme1.xml" Id="rId14" /><Relationship Type="http://schemas.microsoft.com/office/2020/10/relationships/intelligence" Target="intelligence2.xml" Id="Rf643c2b6e75d4e72" /><Relationship Type="http://schemas.openxmlformats.org/officeDocument/2006/relationships/hyperlink" Target="https://www.redalyc.org/pdf/1798/179814012002.pdf" TargetMode="External" Id="R8f56f62946f84e8f" /><Relationship Type="http://schemas.openxmlformats.org/officeDocument/2006/relationships/hyperlink" Target="http://scielo.isciii.es/scielo.php?script=sci_arttext&amp;pid=S1132-05592010000200007&amp;lng=es&amp;tlng=es" TargetMode="External" Id="R16d9429069ee448e" /><Relationship Type="http://schemas.openxmlformats.org/officeDocument/2006/relationships/hyperlink" Target="https://scielo.isciii.es/scielo.php?script=sci_arttext&amp;pid=S0212-97282014000100017" TargetMode="External" Id="Rc3909b44c9d44246" /><Relationship Type="http://schemas.openxmlformats.org/officeDocument/2006/relationships/hyperlink" Target="https://repository.usta.edu.co/bitstream/handle/11634/3882/Avilanestor2015.pdf?sequence=1" TargetMode="External" Id="Rf6a9eca0e7ed4488" /><Relationship Type="http://schemas.openxmlformats.org/officeDocument/2006/relationships/hyperlink" Target="https://20ian81kynqg38bl3l3eh8bf-wpengine.netdna-ssl.com/wpcontent/uploads/2020/02/Campbell_RR_PIPA.pdf" TargetMode="External" Id="Rb914be1cf88b41b8" /><Relationship Type="http://schemas.openxmlformats.org/officeDocument/2006/relationships/hyperlink" Target="https://www.redalyc.org/articulo.oa?id=67915140011" TargetMode="External" Id="Rbe5425e3071747bf" /><Relationship Type="http://schemas.openxmlformats.org/officeDocument/2006/relationships/hyperlink" Target="https://www.griffith.edu.au/__data/assets/pdf_file/0024/226734/2016-Daly-and-Wade-Genderand-Adolescent-pre-print.pdf" TargetMode="External" Id="R9c1b43b367974b65" /><Relationship Type="http://schemas.openxmlformats.org/officeDocument/2006/relationships/hyperlink" Target="https://www.bocsar.nsw.gov.au/Publications/BB/2018-Report-Domestic-and-family-violence-by-juvenile-offenders-BB136.pdf" TargetMode="External" Id="Ra91f5d5f2e924b46" /><Relationship Type="http://schemas.openxmlformats.org/officeDocument/2006/relationships/hyperlink" Target="https://www.academia.edu/107323448/Adolescentes_que_agreden_a_sus_padres_Un_an%C3%A1lisis_descriptivo_de_los_menores_agresores" TargetMode="External" Id="R08e2500f59c24bec" /><Relationship Type="http://schemas.openxmlformats.org/officeDocument/2006/relationships/hyperlink" Target="https://www.redalyc.org/articulo.oa?id=67915140011" TargetMode="External" Id="R7eed150b277d47cb" /><Relationship Type="http://schemas.openxmlformats.org/officeDocument/2006/relationships/hyperlink" Target="https://doi.org/10.1111/jmft.12038" TargetMode="External" Id="R2f98fbe6d1d54c8f" /><Relationship Type="http://schemas.openxmlformats.org/officeDocument/2006/relationships/hyperlink" Target="https://doi.org/10.4324/9781003159773" TargetMode="External" Id="R28a6376df8b64f82" /><Relationship Type="http://schemas.openxmlformats.org/officeDocument/2006/relationships/hyperlink" Target="https://doi.org/10.1002/cbm.1988" TargetMode="External" Id="R9e9176f6a2744f2f" /><Relationship Type="http://schemas.openxmlformats.org/officeDocument/2006/relationships/hyperlink" Target="https://www.grafoscopio.co/" TargetMode="External" Id="Rf8e53c1d9d374cbc" /><Relationship Type="http://schemas.openxmlformats.org/officeDocument/2006/relationships/hyperlink" Target="https://doi.org/10.1016/j.childyouth.2024.108063" TargetMode="External" Id="R6c252c57babd4026"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FA89722F62806E4382CE62E8B391F50D" ma:contentTypeVersion="22" ma:contentTypeDescription="Crear nuevo documento." ma:contentTypeScope="" ma:versionID="4df2fd64e2790724c9fd0bac115213ac">
  <xsd:schema xmlns:xsd="http://www.w3.org/2001/XMLSchema" xmlns:xs="http://www.w3.org/2001/XMLSchema" xmlns:p="http://schemas.microsoft.com/office/2006/metadata/properties" xmlns:ns1="http://schemas.microsoft.com/sharepoint/v3" xmlns:ns2="76e19a15-2275-41d2-ab0b-d020d0f98361" xmlns:ns3="d0a6d937-f7bd-44ad-93dd-573816dfd868" targetNamespace="http://schemas.microsoft.com/office/2006/metadata/properties" ma:root="true" ma:fieldsID="a19a6d13b4e3f31e768ffd0c43e3beea" ns1:_="" ns2:_="" ns3:_="">
    <xsd:import namespace="http://schemas.microsoft.com/sharepoint/v3"/>
    <xsd:import namespace="76e19a15-2275-41d2-ab0b-d020d0f98361"/>
    <xsd:import namespace="d0a6d937-f7bd-44ad-93dd-573816dfd868"/>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MediaServiceAutoKeyPoints" minOccurs="0"/>
                <xsd:element ref="ns2:MediaServiceKeyPoints" minOccurs="0"/>
                <xsd:element ref="ns2:MediaLengthInSeconds" minOccurs="0"/>
                <xsd:element ref="ns1:_ip_UnifiedCompliancePolicyProperties" minOccurs="0"/>
                <xsd:element ref="ns1:_ip_UnifiedCompliancePolicyUIAction"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Propiedades de la Directiva de cumplimiento unificado" ma:hidden="true" ma:internalName="_ip_UnifiedCompliancePolicyProperties" ma:readOnly="false">
      <xsd:simpleType>
        <xsd:restriction base="dms:Note"/>
      </xsd:simpleType>
    </xsd:element>
    <xsd:element name="_ip_UnifiedCompliancePolicyUIAction" ma:index="22" nillable="true" ma:displayName="Acción de IU de la Directiva de cumplimiento unificado" ma:hidden="true" ma:internalName="_ip_UnifiedCompliancePolicyUIAction" ma:readOnly="fals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6e19a15-2275-41d2-ab0b-d020d0f98361" elementFormDefault="qualified">
    <xsd:import namespace="http://schemas.microsoft.com/office/2006/documentManagement/types"/>
    <xsd:import namespace="http://schemas.microsoft.com/office/infopath/2007/PartnerControls"/>
    <xsd:element name="_Flow_SignoffStatus" ma:index="2" nillable="true" ma:displayName="Estado de aprobación" ma:internalName="Estado_x0020_de_x0020_aprobaci_x00f3_n" ma:readOnly="false">
      <xsd:simpleType>
        <xsd:restriction base="dms:Text"/>
      </xsd:simpleType>
    </xsd:element>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hidden="true" ma:internalName="MediaServiceAutoTags" ma:readOnly="true">
      <xsd:simpleType>
        <xsd:restriction base="dms:Text"/>
      </xsd:simpleType>
    </xsd:element>
    <xsd:element name="MediaServiceOCR" ma:index="11" nillable="true" ma:displayName="Extracted Text" ma:hidden="true" ma:internalName="MediaServiceOCR"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MediaLengthInSeconds" ma:index="20" nillable="true" ma:displayName="Length (seconds)" ma:hidden="true"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Etiquetas de imagen" ma:readOnly="false" ma:fieldId="{5cf76f15-5ced-4ddc-b409-7134ff3c332f}" ma:taxonomyMulti="true" ma:sspId="5d09d035-a677-4b24-aeee-1a5c3beaf1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a6d937-f7bd-44ad-93dd-573816dfd868" elementFormDefault="qualified">
    <xsd:import namespace="http://schemas.microsoft.com/office/2006/documentManagement/types"/>
    <xsd:import namespace="http://schemas.microsoft.com/office/infopath/2007/PartnerControls"/>
    <xsd:element name="SharedWithUsers" ma:index="16" nillable="true" ma:displayName="Compartido con"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hidden="true" ma:internalName="SharedWithDetails" ma:readOnly="true">
      <xsd:simpleType>
        <xsd:restriction base="dms:Note"/>
      </xsd:simpleType>
    </xsd:element>
    <xsd:element name="TaxCatchAll" ma:index="26" nillable="true" ma:displayName="Taxonomy Catch All Column" ma:hidden="true" ma:list="{7b4d33e3-c3e0-449f-a61f-09deb52a38d5}" ma:internalName="TaxCatchAll" ma:showField="CatchAllData" ma:web="d0a6d937-f7bd-44ad-93dd-573816dfd86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Tipo de contenido"/>
        <xsd:element ref="dc:title" minOccurs="0" maxOccurs="1" ma:index="1"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76e19a15-2275-41d2-ab0b-d020d0f98361">
      <Terms xmlns="http://schemas.microsoft.com/office/infopath/2007/PartnerControls"/>
    </lcf76f155ced4ddcb4097134ff3c332f>
    <TaxCatchAll xmlns="d0a6d937-f7bd-44ad-93dd-573816dfd868" xsi:nil="true"/>
    <_Flow_SignoffStatus xmlns="76e19a15-2275-41d2-ab0b-d020d0f98361" xsi:nil="true"/>
  </documentManagement>
</p:properties>
</file>

<file path=customXml/itemProps1.xml><?xml version="1.0" encoding="utf-8"?>
<ds:datastoreItem xmlns:ds="http://schemas.openxmlformats.org/officeDocument/2006/customXml" ds:itemID="{D9D734BE-0B16-4675-A66D-1B46BC4BC5CB}">
  <ds:schemaRefs>
    <ds:schemaRef ds:uri="http://schemas.openxmlformats.org/officeDocument/2006/bibliography"/>
  </ds:schemaRefs>
</ds:datastoreItem>
</file>

<file path=customXml/itemProps2.xml><?xml version="1.0" encoding="utf-8"?>
<ds:datastoreItem xmlns:ds="http://schemas.openxmlformats.org/officeDocument/2006/customXml" ds:itemID="{EB5DA35D-6A28-4E94-8A8B-0171CDED0E1C}"/>
</file>

<file path=customXml/itemProps3.xml><?xml version="1.0" encoding="utf-8"?>
<ds:datastoreItem xmlns:ds="http://schemas.openxmlformats.org/officeDocument/2006/customXml" ds:itemID="{4DD6A002-37BE-48B6-8D9C-08130B2589BB}"/>
</file>

<file path=customXml/itemProps4.xml><?xml version="1.0" encoding="utf-8"?>
<ds:datastoreItem xmlns:ds="http://schemas.openxmlformats.org/officeDocument/2006/customXml" ds:itemID="{9719E9C5-C28E-4D5C-91BB-F0B090A4F11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Cristina Velasco Pinzon</dc:creator>
  <cp:keywords/>
  <dc:description/>
  <cp:lastModifiedBy>Ana Cristina Velasco Pinzon</cp:lastModifiedBy>
  <cp:revision>67</cp:revision>
  <dcterms:created xsi:type="dcterms:W3CDTF">2024-09-09T16:32:00Z</dcterms:created>
  <dcterms:modified xsi:type="dcterms:W3CDTF">2025-07-07T17:13:35Z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0x010100FA89722F62806E4382CE62E8B391F50D</vt:lpwstr>
  </property>
  <property fmtid="{D5CDD505-2E9C-101B-9397-08002B2CF9AE}" pid="3" name="MediaServiceImageTags">
    <vt:lpwstr/>
  </property>
</Properties>
</file>